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2501DF4A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0A10AF" w:rsidRPr="00197406">
        <w:rPr>
          <w:rFonts w:ascii="Calibri" w:eastAsia="PMingLiU" w:hAnsi="Calibri" w:cs="Arial"/>
          <w:noProof w:val="0"/>
          <w:sz w:val="24"/>
          <w:szCs w:val="24"/>
          <w:lang w:eastAsia="ja-JP"/>
        </w:rPr>
        <w:t>#</w:t>
      </w:r>
      <w:r w:rsidR="000A10AF">
        <w:rPr>
          <w:rFonts w:ascii="Calibri" w:eastAsia="PMingLiU" w:hAnsi="Calibri" w:cs="Arial"/>
          <w:noProof w:val="0"/>
          <w:sz w:val="24"/>
          <w:szCs w:val="24"/>
          <w:lang w:eastAsia="ja-JP"/>
        </w:rPr>
        <w:t>8</w:t>
      </w:r>
      <w:r w:rsidR="003A4487">
        <w:rPr>
          <w:rFonts w:ascii="Calibri" w:eastAsia="PMingLiU" w:hAnsi="Calibri" w:cs="Arial"/>
          <w:noProof w:val="0"/>
          <w:sz w:val="24"/>
          <w:szCs w:val="24"/>
          <w:lang w:eastAsia="ja-JP"/>
        </w:rPr>
        <w:t>9</w:t>
      </w:r>
      <w:r w:rsidR="000A10AF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435DC8" w:rsidRPr="00435DC8">
        <w:rPr>
          <w:rFonts w:ascii="Arial" w:hAnsi="Arial" w:cs="Arial"/>
          <w:noProof w:val="0"/>
          <w:sz w:val="22"/>
        </w:rPr>
        <w:t>R4-</w:t>
      </w:r>
      <w:r w:rsidR="00B35DBE" w:rsidRPr="00B35DBE">
        <w:rPr>
          <w:rFonts w:ascii="Arial" w:hAnsi="Arial" w:cs="Arial"/>
          <w:noProof w:val="0"/>
          <w:sz w:val="22"/>
        </w:rPr>
        <w:t>1815085</w:t>
      </w:r>
    </w:p>
    <w:p w14:paraId="135C89D8" w14:textId="4663ED63" w:rsidR="008A4A6F" w:rsidRPr="0083294C" w:rsidRDefault="003A4487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Spokane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US</w:t>
      </w:r>
      <w:r w:rsidR="000A10AF">
        <w:rPr>
          <w:rFonts w:ascii="Arial" w:eastAsia="宋体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12</w:t>
      </w:r>
      <w:r w:rsidR="000A10AF">
        <w:rPr>
          <w:rFonts w:ascii="Arial" w:eastAsia="宋体" w:hAnsi="Arial"/>
          <w:b/>
          <w:sz w:val="24"/>
          <w:lang w:eastAsia="zh-CN"/>
        </w:rPr>
        <w:t xml:space="preserve"> - </w:t>
      </w:r>
      <w:r>
        <w:rPr>
          <w:rFonts w:ascii="Arial" w:eastAsia="宋体" w:hAnsi="Arial"/>
          <w:b/>
          <w:sz w:val="24"/>
          <w:lang w:eastAsia="zh-CN"/>
        </w:rPr>
        <w:t>16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November</w:t>
      </w:r>
      <w:r w:rsidR="002042A9" w:rsidRPr="00111924">
        <w:rPr>
          <w:rFonts w:ascii="Arial" w:eastAsia="宋体" w:hAnsi="Arial"/>
          <w:b/>
          <w:sz w:val="24"/>
          <w:lang w:eastAsia="zh-CN"/>
        </w:rPr>
        <w:t>, 2018</w:t>
      </w:r>
    </w:p>
    <w:bookmarkEnd w:id="0"/>
    <w:p w14:paraId="6020DF7C" w14:textId="77777777"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14:paraId="682A84D7" w14:textId="02F2A9CF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664C6A">
        <w:rPr>
          <w:rFonts w:ascii="Arial" w:hAnsi="Arial" w:cs="Arial"/>
          <w:sz w:val="24"/>
        </w:rPr>
        <w:t>D</w:t>
      </w:r>
      <w:r w:rsidR="00664C6A" w:rsidRPr="00664C6A">
        <w:rPr>
          <w:rFonts w:ascii="Arial" w:hAnsi="Arial" w:cs="Arial"/>
          <w:sz w:val="24"/>
        </w:rPr>
        <w:t>iscussion on the remaining issues of UE measurement capability</w:t>
      </w:r>
    </w:p>
    <w:p w14:paraId="4237226B" w14:textId="0059CF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>Huawei, His</w:t>
      </w:r>
      <w:r w:rsidRPr="0083294C">
        <w:rPr>
          <w:rFonts w:ascii="Arial" w:hAnsi="Arial" w:cs="Arial"/>
          <w:sz w:val="24"/>
        </w:rPr>
        <w:t>ilicon</w:t>
      </w:r>
    </w:p>
    <w:p w14:paraId="58303571" w14:textId="10579961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11315A">
        <w:rPr>
          <w:rFonts w:ascii="Arial" w:hAnsi="Arial" w:cs="Arial"/>
          <w:sz w:val="24"/>
        </w:rPr>
        <w:t>7.11.2</w:t>
      </w:r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5B3DFAAC" w14:textId="3C8DCFD3" w:rsidR="000A10AF" w:rsidRPr="00D060ED" w:rsidRDefault="00664C6A" w:rsidP="000A10AF">
      <w:pPr>
        <w:jc w:val="both"/>
      </w:pPr>
      <w:r>
        <w:t xml:space="preserve">Discussion on UE measurement capability is nearly finished until RAN4 #88. The agreements reached in RAN4 #88 is given as below: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10AF" w14:paraId="6046A582" w14:textId="77777777" w:rsidTr="006572E0">
        <w:tc>
          <w:tcPr>
            <w:tcW w:w="8296" w:type="dxa"/>
          </w:tcPr>
          <w:p w14:paraId="73C6705F" w14:textId="133E61D1" w:rsidR="000A10AF" w:rsidRDefault="000A10AF" w:rsidP="006572E0">
            <w:r>
              <w:rPr>
                <w:rFonts w:eastAsia="MS Mincho"/>
                <w:highlight w:val="green"/>
                <w:lang w:eastAsia="ja-JP"/>
              </w:rPr>
              <w:t>RAN4 #8</w:t>
            </w:r>
            <w:r w:rsidR="008C265E">
              <w:rPr>
                <w:rFonts w:eastAsia="MS Mincho"/>
                <w:highlight w:val="green"/>
                <w:lang w:eastAsia="ja-JP"/>
              </w:rPr>
              <w:t>8</w:t>
            </w:r>
            <w:r>
              <w:rPr>
                <w:rFonts w:eastAsia="MS Mincho"/>
                <w:highlight w:val="green"/>
                <w:lang w:eastAsia="ja-JP"/>
              </w:rPr>
              <w:t xml:space="preserve"> </w:t>
            </w: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  <w:r w:rsidRPr="00410320">
              <w:t xml:space="preserve"> </w:t>
            </w:r>
          </w:p>
          <w:p w14:paraId="2B7A56EE" w14:textId="77777777" w:rsidR="00664C6A" w:rsidRDefault="00664C6A" w:rsidP="00664C6A">
            <w:pPr>
              <w:pStyle w:val="aa"/>
              <w:numPr>
                <w:ilvl w:val="0"/>
                <w:numId w:val="34"/>
              </w:numPr>
              <w:ind w:firstLineChars="0"/>
              <w:rPr>
                <w:rFonts w:eastAsia="Times New Roman"/>
              </w:rPr>
            </w:pPr>
            <w:r w:rsidRPr="00664C6A">
              <w:rPr>
                <w:rFonts w:eastAsia="Times New Roman"/>
              </w:rPr>
              <w:t>For each intra-frequency layer the UE shall be capable of monitoring at least 6 cells on a single serving carrier (PCC or PSCC or 1 SCC if PCC/PSCC is in a band different from SCC) out of all the serving carriers configured in the same band.</w:t>
            </w:r>
          </w:p>
          <w:p w14:paraId="1CAAD1FD" w14:textId="0F65C47A" w:rsidR="000A10AF" w:rsidRPr="00664C6A" w:rsidRDefault="00664C6A" w:rsidP="00664C6A">
            <w:pPr>
              <w:pStyle w:val="aa"/>
              <w:numPr>
                <w:ilvl w:val="0"/>
                <w:numId w:val="34"/>
              </w:numPr>
              <w:ind w:firstLineChars="0"/>
              <w:rPr>
                <w:rFonts w:eastAsia="Times New Roman"/>
              </w:rPr>
            </w:pPr>
            <w:r w:rsidRPr="00664C6A">
              <w:rPr>
                <w:rFonts w:eastAsia="Times New Roman"/>
              </w:rPr>
              <w:t xml:space="preserve">For each intra-frequency layer, during each layer 1 measurement period, the UE shall be capable of monitoring at least 24 SSB with different SSB index and/or PCI on a single serving carrier (PCC or PSCC or 1 SCC if PCC/PSCC is in a band different from SCC) out of all the serving carriers configured in the same band. UE shall be capable of monitoring 2 SSB(s) on serving cell for each of the other serving carrier(s) in the same band. </w:t>
            </w:r>
            <w:r w:rsidRPr="00664C6A">
              <w:rPr>
                <w:rFonts w:eastAsia="Times New Roman" w:cs="v4.2.0"/>
              </w:rPr>
              <w:t>UE shall be capable of performing SS-RSRP, SS-RSRQ, and SS-SINR on all above-mentioned SSBs</w:t>
            </w:r>
          </w:p>
        </w:tc>
      </w:tr>
    </w:tbl>
    <w:p w14:paraId="6173691F" w14:textId="0BED5044" w:rsidR="008C7865" w:rsidRPr="003E4003" w:rsidRDefault="00664C6A" w:rsidP="008C7865">
      <w:pPr>
        <w:jc w:val="both"/>
      </w:pPr>
      <w:r>
        <w:t xml:space="preserve">In </w:t>
      </w:r>
      <w:r w:rsidR="000A10AF">
        <w:t xml:space="preserve">this contribution, we continue to discuss </w:t>
      </w:r>
      <w:r w:rsidR="003E4003">
        <w:rPr>
          <w:rFonts w:hint="eastAsia"/>
        </w:rPr>
        <w:t xml:space="preserve">on the remaining </w:t>
      </w:r>
      <w:r w:rsidR="000A10AF">
        <w:t>issue</w:t>
      </w:r>
      <w:r w:rsidR="003E4003">
        <w:t>s</w:t>
      </w:r>
      <w:r w:rsidR="000A10AF">
        <w:t>.</w:t>
      </w:r>
    </w:p>
    <w:p w14:paraId="092461EB" w14:textId="410FB793" w:rsidR="00945091" w:rsidRPr="00D83FD1" w:rsidRDefault="008C7865" w:rsidP="003E4003">
      <w:pPr>
        <w:pStyle w:val="1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Discussion on </w:t>
      </w:r>
      <w:r w:rsidR="003E4003">
        <w:rPr>
          <w:rFonts w:ascii="Arial" w:eastAsiaTheme="minorEastAsia" w:hAnsi="Arial" w:cs="Arial"/>
          <w:lang w:val="en-US" w:eastAsia="zh-CN"/>
        </w:rPr>
        <w:t xml:space="preserve">the </w:t>
      </w:r>
      <w:r w:rsidR="003E4003" w:rsidRPr="003E4003">
        <w:rPr>
          <w:rFonts w:ascii="Arial" w:eastAsiaTheme="minorEastAsia" w:hAnsi="Arial" w:cs="Arial"/>
          <w:lang w:val="en-US" w:eastAsia="zh-CN"/>
        </w:rPr>
        <w:t>remaining issues</w:t>
      </w:r>
    </w:p>
    <w:p w14:paraId="2A05CD91" w14:textId="4E385A9B" w:rsidR="003E4003" w:rsidRDefault="003E4003" w:rsidP="003E4003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There are </w:t>
      </w:r>
      <w:r w:rsidR="00033BFB">
        <w:rPr>
          <w:rFonts w:eastAsia="MS Mincho"/>
          <w:lang w:eastAsia="ja-JP"/>
        </w:rPr>
        <w:t>only one</w:t>
      </w:r>
      <w:r>
        <w:rPr>
          <w:rFonts w:eastAsia="MS Mincho"/>
          <w:lang w:eastAsia="ja-JP"/>
        </w:rPr>
        <w:t xml:space="preserve"> issue still left open.</w:t>
      </w:r>
    </w:p>
    <w:p w14:paraId="2ECC8708" w14:textId="71254C24" w:rsidR="0013490B" w:rsidRPr="00033BFB" w:rsidRDefault="00464A45" w:rsidP="00033BFB">
      <w:pPr>
        <w:jc w:val="both"/>
        <w:rPr>
          <w:rFonts w:eastAsiaTheme="minorEastAsia"/>
        </w:rPr>
      </w:pPr>
      <w:r w:rsidRPr="00033BFB">
        <w:rPr>
          <w:rFonts w:eastAsiaTheme="minorEastAsia"/>
          <w:u w:val="single"/>
        </w:rPr>
        <w:t>Which serving carrier should be the carrier on which 24 SSBs are monitored</w:t>
      </w:r>
      <w:r w:rsidR="0013490B" w:rsidRPr="00033BFB">
        <w:rPr>
          <w:rFonts w:eastAsiaTheme="minorEastAsia"/>
          <w:u w:val="single"/>
        </w:rPr>
        <w:t>?</w:t>
      </w:r>
      <w:r w:rsidR="0013490B" w:rsidRPr="00033BFB">
        <w:rPr>
          <w:rFonts w:eastAsiaTheme="minorEastAsia"/>
        </w:rPr>
        <w:t xml:space="preserve"> </w:t>
      </w:r>
    </w:p>
    <w:p w14:paraId="48E19B82" w14:textId="77777777" w:rsidR="0098120C" w:rsidRDefault="0098120C" w:rsidP="0098120C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In Rel-15, </w:t>
      </w:r>
      <w:r>
        <w:rPr>
          <w:rFonts w:eastAsiaTheme="minorEastAsia"/>
        </w:rPr>
        <w:t xml:space="preserve">only </w:t>
      </w:r>
      <w:r>
        <w:rPr>
          <w:rFonts w:eastAsiaTheme="minorEastAsia" w:hint="eastAsia"/>
        </w:rPr>
        <w:t>co-located</w:t>
      </w:r>
      <w:r>
        <w:rPr>
          <w:rFonts w:eastAsiaTheme="minorEastAsia"/>
        </w:rPr>
        <w:t xml:space="preserve"> scenario is considered for intra-band CA. So the measurement results for CCs in the same band will be highly the same. As a result, companies have reached the agreement that </w:t>
      </w:r>
      <w:r w:rsidR="0013490B" w:rsidRPr="0013490B">
        <w:rPr>
          <w:rFonts w:eastAsiaTheme="minorEastAsia"/>
        </w:rPr>
        <w:t xml:space="preserve">UE should </w:t>
      </w:r>
      <w:r w:rsidR="0013490B">
        <w:rPr>
          <w:rFonts w:eastAsiaTheme="minorEastAsia"/>
        </w:rPr>
        <w:t>be capable of detecting and measuring 24 SSB</w:t>
      </w:r>
      <w:r w:rsidR="00464A45">
        <w:rPr>
          <w:rFonts w:eastAsiaTheme="minorEastAsia"/>
        </w:rPr>
        <w:t>s</w:t>
      </w:r>
      <w:r w:rsidR="0013490B">
        <w:rPr>
          <w:rFonts w:eastAsiaTheme="minorEastAsia"/>
        </w:rPr>
        <w:t xml:space="preserve"> </w:t>
      </w:r>
      <w:r w:rsidR="0013490B">
        <w:rPr>
          <w:rFonts w:eastAsiaTheme="minorEastAsia" w:hint="eastAsia"/>
        </w:rPr>
        <w:t xml:space="preserve">on a serving carrier in a FR2 band, and </w:t>
      </w:r>
      <w:r w:rsidR="0013490B">
        <w:rPr>
          <w:rFonts w:eastAsiaTheme="minorEastAsia"/>
        </w:rPr>
        <w:t xml:space="preserve">UE is only required to monitor 2 SSBs on serving cell for each of the other serving </w:t>
      </w:r>
      <w:r w:rsidR="00464A45">
        <w:rPr>
          <w:rFonts w:eastAsiaTheme="minorEastAsia"/>
        </w:rPr>
        <w:t xml:space="preserve">carriers. </w:t>
      </w:r>
    </w:p>
    <w:p w14:paraId="5A6CB024" w14:textId="1ED9C74E" w:rsidR="0013490B" w:rsidRDefault="00464A45" w:rsidP="0098120C">
      <w:pPr>
        <w:jc w:val="both"/>
        <w:rPr>
          <w:rFonts w:eastAsiaTheme="minorEastAsia"/>
        </w:rPr>
      </w:pPr>
      <w:r>
        <w:rPr>
          <w:rFonts w:eastAsiaTheme="minorEastAsia"/>
        </w:rPr>
        <w:t>So the problem is: which serving carrier should be the carrier on which 24 SSBs are monitored (</w:t>
      </w:r>
      <w:r w:rsidR="0098120C">
        <w:rPr>
          <w:rFonts w:eastAsiaTheme="minorEastAsia"/>
        </w:rPr>
        <w:t>referred</w:t>
      </w:r>
      <w:r>
        <w:rPr>
          <w:rFonts w:eastAsiaTheme="minorEastAsia"/>
        </w:rPr>
        <w:t xml:space="preserve"> as full-ca</w:t>
      </w:r>
      <w:r w:rsidR="005D15B3">
        <w:rPr>
          <w:rFonts w:eastAsiaTheme="minorEastAsia"/>
        </w:rPr>
        <w:t>pability CC in the following discussion</w:t>
      </w:r>
      <w:r>
        <w:rPr>
          <w:rFonts w:eastAsiaTheme="minorEastAsia"/>
        </w:rPr>
        <w:t xml:space="preserve">)? PCC or PSCC </w:t>
      </w:r>
      <w:r w:rsidR="005D15B3">
        <w:rPr>
          <w:rFonts w:eastAsiaTheme="minorEastAsia"/>
        </w:rPr>
        <w:t xml:space="preserve">should be the full-capability CC if it is in that </w:t>
      </w:r>
      <w:r>
        <w:rPr>
          <w:rFonts w:eastAsiaTheme="minorEastAsia"/>
        </w:rPr>
        <w:t>FR2 band</w:t>
      </w:r>
      <w:r w:rsidR="005D15B3">
        <w:rPr>
          <w:rFonts w:eastAsiaTheme="minorEastAsia"/>
        </w:rPr>
        <w:t xml:space="preserve">. And UE should choose the SCC as full-capability CC if there is only one SCC in that </w:t>
      </w:r>
      <w:r w:rsidR="005D15B3">
        <w:rPr>
          <w:rFonts w:eastAsiaTheme="minorEastAsia"/>
        </w:rPr>
        <w:lastRenderedPageBreak/>
        <w:t xml:space="preserve">FR2 band. However, if there is no PCC or PSCC and there are multiple SCCs, The method UE to choose full-capability CC is unclear. </w:t>
      </w:r>
    </w:p>
    <w:p w14:paraId="77502E2E" w14:textId="2505E383" w:rsidR="005D15B3" w:rsidRDefault="005D15B3" w:rsidP="0013490B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In RAN4 #88, several </w:t>
      </w:r>
      <w:r w:rsidR="00A143E4">
        <w:rPr>
          <w:rFonts w:eastAsiaTheme="minorEastAsia"/>
        </w:rPr>
        <w:t xml:space="preserve">alternatives </w:t>
      </w:r>
      <w:r>
        <w:rPr>
          <w:rFonts w:eastAsiaTheme="minorEastAsia" w:hint="eastAsia"/>
        </w:rPr>
        <w:t>are proposed:</w:t>
      </w:r>
    </w:p>
    <w:p w14:paraId="07215F1C" w14:textId="44C71C76" w:rsidR="009258E4" w:rsidRPr="009258E4" w:rsidRDefault="00A143E4" w:rsidP="009258E4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A143E4">
        <w:rPr>
          <w:rFonts w:eastAsiaTheme="minorEastAsia"/>
          <w:b/>
        </w:rPr>
        <w:t>UE implementation</w:t>
      </w:r>
      <w:r>
        <w:rPr>
          <w:rFonts w:eastAsiaTheme="minorEastAsia"/>
        </w:rPr>
        <w:t>. UE has the freedom to choose full-capability CC.</w:t>
      </w:r>
      <w:r w:rsidR="009258E4">
        <w:rPr>
          <w:rFonts w:eastAsiaTheme="minorEastAsia"/>
        </w:rPr>
        <w:t xml:space="preserve"> However, it will bring difficulties to NW because NW cannot predict which CC is chosen.</w:t>
      </w:r>
    </w:p>
    <w:p w14:paraId="6C9FC4EE" w14:textId="1FE6F30D" w:rsidR="00A143E4" w:rsidRDefault="00A143E4" w:rsidP="00A143E4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A143E4">
        <w:rPr>
          <w:rFonts w:eastAsiaTheme="minorEastAsia"/>
          <w:b/>
        </w:rPr>
        <w:t>The first activated SCC</w:t>
      </w:r>
      <w:r>
        <w:rPr>
          <w:rFonts w:eastAsiaTheme="minorEastAsia"/>
        </w:rPr>
        <w:t>. UE chooses the SCC which is first activated as the full-capability CC. If the first activated SCC is already deactivated the SCC second activated should be chosen, and so on.</w:t>
      </w:r>
      <w:r w:rsidR="009258E4">
        <w:rPr>
          <w:rFonts w:eastAsiaTheme="minorEastAsia"/>
        </w:rPr>
        <w:t xml:space="preserve"> However, alt. b) is infeasible because there exists the possibility that multiple SCells are activated together. In this case UE can’t distinguish which SCell is activated first.</w:t>
      </w:r>
    </w:p>
    <w:p w14:paraId="0E66F7F7" w14:textId="76E127B3" w:rsidR="00A143E4" w:rsidRDefault="00A143E4" w:rsidP="00A143E4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A143E4">
        <w:rPr>
          <w:rFonts w:eastAsiaTheme="minorEastAsia"/>
          <w:b/>
        </w:rPr>
        <w:t>The SCC with lowest frequency in band</w:t>
      </w:r>
      <w:r>
        <w:rPr>
          <w:rFonts w:eastAsiaTheme="minorEastAsia"/>
        </w:rPr>
        <w:t>. UE chooses the SCC which has the lowest carrier frequency as the full-capability CC</w:t>
      </w:r>
      <w:r w:rsidR="003B17CB">
        <w:rPr>
          <w:rFonts w:eastAsiaTheme="minorEastAsia"/>
        </w:rPr>
        <w:t>. But the benefits of measuring 24 SSBs on the SCC with lowest frequency is unclear.</w:t>
      </w:r>
    </w:p>
    <w:p w14:paraId="459C9443" w14:textId="773A7083" w:rsidR="000F5C2B" w:rsidRPr="000F5C2B" w:rsidRDefault="00A143E4" w:rsidP="000F5C2B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0F5C2B">
        <w:rPr>
          <w:rFonts w:eastAsiaTheme="minorEastAsia"/>
          <w:b/>
        </w:rPr>
        <w:t>Indication</w:t>
      </w:r>
      <w:r w:rsidR="000F5C2B" w:rsidRPr="000F5C2B">
        <w:rPr>
          <w:rFonts w:eastAsiaTheme="minorEastAsia"/>
          <w:b/>
        </w:rPr>
        <w:t xml:space="preserve"> by signaling</w:t>
      </w:r>
      <w:r w:rsidR="000F5C2B">
        <w:rPr>
          <w:rFonts w:eastAsiaTheme="minorEastAsia"/>
        </w:rPr>
        <w:t>. NW indicates UE which CC should be full-capability CC by signaling.</w:t>
      </w:r>
      <w:r w:rsidR="003B17CB">
        <w:rPr>
          <w:rFonts w:eastAsiaTheme="minorEastAsia"/>
        </w:rPr>
        <w:t xml:space="preserve"> However, ASN.1 is already frozen.</w:t>
      </w:r>
    </w:p>
    <w:p w14:paraId="7A553EC0" w14:textId="5429E77E" w:rsidR="00A143E4" w:rsidRPr="003B17CB" w:rsidRDefault="00A143E4" w:rsidP="00CA0A0D">
      <w:pPr>
        <w:pStyle w:val="aa"/>
        <w:numPr>
          <w:ilvl w:val="0"/>
          <w:numId w:val="38"/>
        </w:numPr>
        <w:ind w:firstLineChars="0"/>
        <w:jc w:val="both"/>
        <w:rPr>
          <w:rFonts w:eastAsiaTheme="minorEastAsia"/>
        </w:rPr>
      </w:pPr>
      <w:r w:rsidRPr="003B17CB">
        <w:rPr>
          <w:rFonts w:eastAsiaTheme="minorEastAsia"/>
          <w:b/>
        </w:rPr>
        <w:t>I</w:t>
      </w:r>
      <w:r w:rsidRPr="003B17CB">
        <w:rPr>
          <w:rFonts w:eastAsiaTheme="minorEastAsia" w:hint="eastAsia"/>
          <w:b/>
        </w:rPr>
        <w:t xml:space="preserve">ndication </w:t>
      </w:r>
      <w:r w:rsidRPr="003B17CB">
        <w:rPr>
          <w:rFonts w:eastAsiaTheme="minorEastAsia"/>
          <w:b/>
        </w:rPr>
        <w:t>by MO configuration</w:t>
      </w:r>
      <w:r w:rsidR="000F5C2B" w:rsidRPr="003B17CB">
        <w:rPr>
          <w:rFonts w:eastAsiaTheme="minorEastAsia"/>
        </w:rPr>
        <w:t>. It is proposed in [1] that NW can implicitly indicates UE full-capability CC by MO configuration. In short, NW only configures MO for one CC in that FR2 band</w:t>
      </w:r>
      <w:r w:rsidR="000F5C2B" w:rsidRPr="003B17CB">
        <w:rPr>
          <w:rFonts w:eastAsiaTheme="minorEastAsia" w:hint="eastAsia"/>
        </w:rPr>
        <w:t>。</w:t>
      </w:r>
      <w:r w:rsidR="000F5C2B" w:rsidRPr="003B17CB">
        <w:rPr>
          <w:rFonts w:eastAsiaTheme="minorEastAsia" w:hint="eastAsia"/>
        </w:rPr>
        <w:t xml:space="preserve"> </w:t>
      </w:r>
      <w:r w:rsidR="000F5C2B" w:rsidRPr="003B17CB">
        <w:rPr>
          <w:rFonts w:eastAsiaTheme="minorEastAsia"/>
        </w:rPr>
        <w:t>So the CC associated with the configured MO is the full-capability CC.</w:t>
      </w:r>
      <w:r w:rsidR="003B17CB">
        <w:rPr>
          <w:rFonts w:eastAsiaTheme="minorEastAsia"/>
        </w:rPr>
        <w:t xml:space="preserve"> However, </w:t>
      </w:r>
      <w:r w:rsidR="006A48E4" w:rsidRPr="003B17CB">
        <w:rPr>
          <w:rFonts w:eastAsiaTheme="minorEastAsia"/>
        </w:rPr>
        <w:t xml:space="preserve">e) is also infeasible because NW </w:t>
      </w:r>
      <w:r w:rsidR="00FF71D1" w:rsidRPr="003B17CB">
        <w:rPr>
          <w:rFonts w:eastAsiaTheme="minorEastAsia"/>
        </w:rPr>
        <w:t>will</w:t>
      </w:r>
      <w:r w:rsidR="003B17CB">
        <w:rPr>
          <w:rFonts w:eastAsiaTheme="minorEastAsia"/>
        </w:rPr>
        <w:t xml:space="preserve"> configure </w:t>
      </w:r>
      <w:r w:rsidR="006A48E4" w:rsidRPr="003B17CB">
        <w:rPr>
          <w:rFonts w:eastAsiaTheme="minorEastAsia"/>
        </w:rPr>
        <w:t xml:space="preserve">MO for SpCell and </w:t>
      </w:r>
      <w:r w:rsidR="003B17CB">
        <w:rPr>
          <w:rFonts w:eastAsiaTheme="minorEastAsia"/>
        </w:rPr>
        <w:t>each</w:t>
      </w:r>
      <w:r w:rsidR="006A48E4" w:rsidRPr="003B17CB">
        <w:rPr>
          <w:rFonts w:eastAsiaTheme="minorEastAsia"/>
        </w:rPr>
        <w:t xml:space="preserve"> SCell to be measure</w:t>
      </w:r>
      <w:r w:rsidR="00FF71D1" w:rsidRPr="003B17CB">
        <w:rPr>
          <w:rFonts w:eastAsiaTheme="minorEastAsia"/>
        </w:rPr>
        <w:t xml:space="preserve">d according to 38.331. </w:t>
      </w:r>
      <w:r w:rsidR="00FF71D1" w:rsidRPr="003B17CB">
        <w:rPr>
          <w:rFonts w:eastAsiaTheme="minorEastAsia" w:hint="eastAsia"/>
        </w:rPr>
        <w:t xml:space="preserve">So </w:t>
      </w:r>
      <w:r w:rsidR="00FF71D1" w:rsidRPr="003B17CB">
        <w:rPr>
          <w:rFonts w:eastAsiaTheme="minorEastAsia"/>
        </w:rPr>
        <w:t>only configuring a MO for full-capability SCC is incompatible with specification.</w:t>
      </w:r>
      <w:r w:rsidR="009258E4" w:rsidRPr="003B17CB">
        <w:rPr>
          <w:rFonts w:eastAsiaTheme="minorEastAsia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48E4" w14:paraId="4DA99E7A" w14:textId="77777777" w:rsidTr="006A48E4">
        <w:tc>
          <w:tcPr>
            <w:tcW w:w="8296" w:type="dxa"/>
          </w:tcPr>
          <w:p w14:paraId="75EB4EF9" w14:textId="0A9B5BD8" w:rsidR="006A48E4" w:rsidRDefault="006A48E4" w:rsidP="000F5C2B">
            <w:pPr>
              <w:jc w:val="both"/>
              <w:rPr>
                <w:rFonts w:eastAsiaTheme="minorEastAsia"/>
              </w:rPr>
            </w:pPr>
            <w:r w:rsidRPr="006A48E4">
              <w:rPr>
                <w:rFonts w:eastAsiaTheme="minorEastAsia"/>
                <w:highlight w:val="green"/>
              </w:rPr>
              <w:t xml:space="preserve">TS </w:t>
            </w:r>
            <w:r w:rsidRPr="006A48E4">
              <w:rPr>
                <w:rFonts w:eastAsiaTheme="minorEastAsia" w:hint="eastAsia"/>
                <w:highlight w:val="green"/>
              </w:rPr>
              <w:t>38.331</w:t>
            </w:r>
            <w:r>
              <w:rPr>
                <w:rFonts w:eastAsiaTheme="minorEastAsia"/>
                <w:highlight w:val="green"/>
              </w:rPr>
              <w:t>, subclause 5.5.2.1</w:t>
            </w:r>
            <w:r w:rsidRPr="006A48E4">
              <w:rPr>
                <w:rFonts w:eastAsiaTheme="minorEastAsia" w:hint="eastAsia"/>
                <w:highlight w:val="green"/>
              </w:rPr>
              <w:t>:</w:t>
            </w:r>
          </w:p>
          <w:p w14:paraId="35C16C7B" w14:textId="77777777" w:rsidR="006A48E4" w:rsidRPr="00D42FE6" w:rsidRDefault="006A48E4" w:rsidP="006A48E4">
            <w:r w:rsidRPr="00D42FE6">
              <w:t>The network applies the procedure as follows:</w:t>
            </w:r>
          </w:p>
          <w:p w14:paraId="586B7BE8" w14:textId="16F97AE7" w:rsidR="006A48E4" w:rsidRPr="00D42FE6" w:rsidRDefault="006A48E4" w:rsidP="006A48E4">
            <w:r w:rsidRPr="00D42FE6">
              <w:t>-</w:t>
            </w:r>
            <w:r w:rsidRPr="00D42FE6">
              <w:tab/>
            </w:r>
            <w:r w:rsidRPr="006A48E4">
              <w:rPr>
                <w:highlight w:val="yellow"/>
              </w:rPr>
              <w:t xml:space="preserve">to ensure that, whenever the UE has a </w:t>
            </w:r>
            <w:r w:rsidRPr="006A48E4">
              <w:rPr>
                <w:i/>
                <w:highlight w:val="yellow"/>
              </w:rPr>
              <w:t>measConfig</w:t>
            </w:r>
            <w:r w:rsidRPr="006A48E4">
              <w:rPr>
                <w:highlight w:val="yellow"/>
              </w:rPr>
              <w:t xml:space="preserve">, it includes a </w:t>
            </w:r>
            <w:r w:rsidRPr="006A48E4">
              <w:rPr>
                <w:i/>
                <w:highlight w:val="yellow"/>
              </w:rPr>
              <w:t>measObject</w:t>
            </w:r>
            <w:r w:rsidRPr="006A48E4">
              <w:rPr>
                <w:highlight w:val="yellow"/>
              </w:rPr>
              <w:t xml:space="preserve"> for the SpCell and for each NR SCell to be measured;</w:t>
            </w:r>
          </w:p>
          <w:p w14:paraId="2E7D493A" w14:textId="77777777" w:rsidR="006A48E4" w:rsidRPr="00D42FE6" w:rsidRDefault="006A48E4" w:rsidP="006A48E4">
            <w:r w:rsidRPr="00D42FE6">
              <w:t>-</w:t>
            </w:r>
            <w:r w:rsidRPr="00D42FE6">
              <w:tab/>
              <w:t xml:space="preserve">to configure at most one measurement identity using a reporting configuration with the </w:t>
            </w:r>
            <w:r w:rsidRPr="006A48E4">
              <w:rPr>
                <w:i/>
              </w:rPr>
              <w:t>reportType</w:t>
            </w:r>
            <w:r w:rsidRPr="00D42FE6">
              <w:t xml:space="preserve"> set to </w:t>
            </w:r>
            <w:r w:rsidRPr="006A48E4">
              <w:rPr>
                <w:i/>
              </w:rPr>
              <w:t>reportCGI</w:t>
            </w:r>
            <w:r w:rsidRPr="00D42FE6">
              <w:rPr>
                <w:i/>
              </w:rPr>
              <w:t>;</w:t>
            </w:r>
          </w:p>
          <w:p w14:paraId="041FA92C" w14:textId="176EF6A9" w:rsidR="006A48E4" w:rsidRDefault="006A48E4" w:rsidP="006A48E4">
            <w:pPr>
              <w:jc w:val="both"/>
              <w:rPr>
                <w:rFonts w:eastAsiaTheme="minorEastAsia"/>
              </w:rPr>
            </w:pPr>
            <w:r w:rsidRPr="00D42FE6">
              <w:rPr>
                <w:i/>
              </w:rPr>
              <w:t>-</w:t>
            </w:r>
            <w:r w:rsidRPr="00D42FE6">
              <w:rPr>
                <w:i/>
              </w:rPr>
              <w:tab/>
            </w:r>
            <w:r w:rsidRPr="00D42FE6">
              <w:t xml:space="preserve">to ensure that, for all SSB based reporting configurations have at most one measurement object with the same </w:t>
            </w:r>
            <w:r w:rsidRPr="00D42FE6">
              <w:rPr>
                <w:i/>
              </w:rPr>
              <w:t>ssbFrequency</w:t>
            </w:r>
            <w:r w:rsidRPr="00D42FE6">
              <w:t xml:space="preserve"> and </w:t>
            </w:r>
            <w:r w:rsidRPr="00D42FE6">
              <w:rPr>
                <w:i/>
              </w:rPr>
              <w:t>ssbSubcarrierSpacing;</w:t>
            </w:r>
          </w:p>
        </w:tc>
      </w:tr>
    </w:tbl>
    <w:p w14:paraId="5E3672E6" w14:textId="2A7B8B86" w:rsidR="00A954E5" w:rsidRPr="00A954E5" w:rsidRDefault="00A954E5" w:rsidP="00A954E5">
      <w:pPr>
        <w:pStyle w:val="1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A new method to indicate full-capability CC</w:t>
      </w:r>
    </w:p>
    <w:p w14:paraId="51841276" w14:textId="77777777" w:rsidR="00A954E5" w:rsidRDefault="003B17CB" w:rsidP="0070387F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In this </w:t>
      </w:r>
      <w:r w:rsidR="00A954E5">
        <w:rPr>
          <w:rFonts w:eastAsiaTheme="minorEastAsia"/>
        </w:rPr>
        <w:t>section</w:t>
      </w:r>
      <w:r>
        <w:rPr>
          <w:rFonts w:eastAsiaTheme="minorEastAsia" w:hint="eastAsia"/>
        </w:rPr>
        <w:t xml:space="preserve"> we propose </w:t>
      </w:r>
      <w:r w:rsidR="00AB7CB4">
        <w:rPr>
          <w:rFonts w:eastAsiaTheme="minorEastAsia"/>
        </w:rPr>
        <w:t>a new alternative t</w:t>
      </w:r>
      <w:r w:rsidR="00ED395D">
        <w:rPr>
          <w:rFonts w:eastAsiaTheme="minorEastAsia"/>
        </w:rPr>
        <w:t>o indicate full-capability SCC</w:t>
      </w:r>
      <w:r w:rsidR="00ED395D">
        <w:rPr>
          <w:rFonts w:eastAsiaTheme="minorEastAsia" w:hint="eastAsia"/>
        </w:rPr>
        <w:t>。</w:t>
      </w:r>
    </w:p>
    <w:p w14:paraId="48B1F4ED" w14:textId="1A7C55E0" w:rsidR="00ED395D" w:rsidRPr="00A954E5" w:rsidRDefault="0070387F" w:rsidP="007038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According to 38.331, UE should perform RSRP </w:t>
      </w:r>
      <w:r>
        <w:rPr>
          <w:rFonts w:eastAsiaTheme="minorEastAsia" w:hint="eastAsia"/>
        </w:rPr>
        <w:t xml:space="preserve">and </w:t>
      </w:r>
      <w:r>
        <w:rPr>
          <w:rFonts w:eastAsiaTheme="minorEastAsia"/>
        </w:rPr>
        <w:t xml:space="preserve">RSRQ measurements for each serving cell for which </w:t>
      </w:r>
      <w:r w:rsidRPr="0070387F">
        <w:rPr>
          <w:rFonts w:eastAsiaTheme="minorEastAsia"/>
          <w:i/>
        </w:rPr>
        <w:t>servingCellMO</w:t>
      </w:r>
      <w:r>
        <w:rPr>
          <w:rFonts w:eastAsiaTheme="minorEastAsia"/>
        </w:rPr>
        <w:t xml:space="preserve"> is configured. Furthermore, if any</w:t>
      </w:r>
      <w:r w:rsidRPr="0070387F">
        <w:rPr>
          <w:rFonts w:eastAsiaTheme="minorEastAsia"/>
        </w:rPr>
        <w:t xml:space="preserve"> meas</w:t>
      </w:r>
      <w:r>
        <w:rPr>
          <w:rFonts w:eastAsiaTheme="minorEastAsia"/>
        </w:rPr>
        <w:t xml:space="preserve">ure identity </w:t>
      </w:r>
      <w:r w:rsidRPr="0070387F">
        <w:rPr>
          <w:rFonts w:eastAsiaTheme="minorEastAsia"/>
        </w:rPr>
        <w:t xml:space="preserve">in the </w:t>
      </w:r>
      <w:r>
        <w:rPr>
          <w:rFonts w:eastAsiaTheme="minorEastAsia"/>
        </w:rPr>
        <w:t xml:space="preserve">measure identity list </w:t>
      </w:r>
      <w:r w:rsidR="00A954E5">
        <w:rPr>
          <w:rFonts w:eastAsiaTheme="minorEastAsia"/>
        </w:rPr>
        <w:t xml:space="preserve">contains </w:t>
      </w:r>
      <w:r w:rsidRPr="0070387F">
        <w:rPr>
          <w:rFonts w:eastAsiaTheme="minorEastAsia"/>
        </w:rPr>
        <w:t>SINR as trigger quantity and/or reporting quantity</w:t>
      </w:r>
      <w:r w:rsidR="00A954E5">
        <w:rPr>
          <w:rFonts w:eastAsiaTheme="minorEastAsia"/>
        </w:rPr>
        <w:t>, UE also needs to perform SINR measurements for each serving cell.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D395D" w14:paraId="3F30796E" w14:textId="77777777" w:rsidTr="00ED395D">
        <w:tc>
          <w:tcPr>
            <w:tcW w:w="8296" w:type="dxa"/>
          </w:tcPr>
          <w:p w14:paraId="7868717F" w14:textId="2A43A8F9" w:rsidR="00ED395D" w:rsidRPr="00ED395D" w:rsidRDefault="00ED395D" w:rsidP="00ED395D">
            <w:pPr>
              <w:jc w:val="both"/>
              <w:rPr>
                <w:rFonts w:eastAsiaTheme="minorEastAsia"/>
              </w:rPr>
            </w:pPr>
            <w:r w:rsidRPr="006A48E4">
              <w:rPr>
                <w:rFonts w:eastAsiaTheme="minorEastAsia"/>
                <w:highlight w:val="green"/>
              </w:rPr>
              <w:lastRenderedPageBreak/>
              <w:t xml:space="preserve">TS </w:t>
            </w:r>
            <w:r w:rsidRPr="006A48E4">
              <w:rPr>
                <w:rFonts w:eastAsiaTheme="minorEastAsia" w:hint="eastAsia"/>
                <w:highlight w:val="green"/>
              </w:rPr>
              <w:t>38.331</w:t>
            </w:r>
            <w:r>
              <w:rPr>
                <w:rFonts w:eastAsiaTheme="minorEastAsia"/>
                <w:highlight w:val="green"/>
              </w:rPr>
              <w:t>, subclause 5.5.2.1</w:t>
            </w:r>
            <w:r w:rsidRPr="006A48E4">
              <w:rPr>
                <w:rFonts w:eastAsiaTheme="minorEastAsia" w:hint="eastAsia"/>
                <w:highlight w:val="green"/>
              </w:rPr>
              <w:t>:</w:t>
            </w:r>
          </w:p>
          <w:p w14:paraId="7E3930AB" w14:textId="24240350" w:rsidR="00ED395D" w:rsidRPr="00D42FE6" w:rsidRDefault="00ED395D" w:rsidP="00ED395D">
            <w:pPr>
              <w:pStyle w:val="B1"/>
            </w:pPr>
            <w:r w:rsidRPr="00D42FE6">
              <w:t>1&gt;</w:t>
            </w:r>
            <w:r w:rsidRPr="00D42FE6">
              <w:tab/>
            </w:r>
            <w:r w:rsidRPr="00ED395D">
              <w:rPr>
                <w:highlight w:val="yellow"/>
              </w:rPr>
              <w:t xml:space="preserve">whenever the UE has a </w:t>
            </w:r>
            <w:r w:rsidRPr="00ED395D">
              <w:rPr>
                <w:i/>
                <w:highlight w:val="yellow"/>
              </w:rPr>
              <w:t>measConfig</w:t>
            </w:r>
            <w:r w:rsidRPr="00ED395D">
              <w:rPr>
                <w:highlight w:val="yellow"/>
              </w:rPr>
              <w:t xml:space="preserve">, perform RSRP and RSRQ measurements for each serving cell for which </w:t>
            </w:r>
            <w:r w:rsidRPr="00ED395D">
              <w:rPr>
                <w:i/>
                <w:highlight w:val="yellow"/>
              </w:rPr>
              <w:t>servingCellMO</w:t>
            </w:r>
            <w:r w:rsidRPr="00ED395D">
              <w:rPr>
                <w:highlight w:val="yellow"/>
              </w:rPr>
              <w:t xml:space="preserve"> is configured as follows</w:t>
            </w:r>
            <w:r w:rsidRPr="00D42FE6">
              <w:t>:</w:t>
            </w:r>
          </w:p>
          <w:p w14:paraId="730CFC77" w14:textId="77777777" w:rsidR="00ED395D" w:rsidRPr="00D42FE6" w:rsidRDefault="00ED395D" w:rsidP="00ED395D">
            <w:pPr>
              <w:pStyle w:val="B2"/>
            </w:pPr>
            <w:r w:rsidRPr="00D42FE6">
              <w:t>2&gt;</w:t>
            </w:r>
            <w:r w:rsidRPr="00D42FE6">
              <w:tab/>
              <w:t xml:space="preserve">if at least one </w:t>
            </w:r>
            <w:r w:rsidRPr="00D42FE6">
              <w:rPr>
                <w:i/>
              </w:rPr>
              <w:t>measId</w:t>
            </w:r>
            <w:r w:rsidRPr="00D42FE6">
              <w:t xml:space="preserve"> included in the </w:t>
            </w:r>
            <w:r w:rsidRPr="00D42FE6">
              <w:rPr>
                <w:i/>
              </w:rPr>
              <w:t>measIdList</w:t>
            </w:r>
            <w:r w:rsidRPr="00D42FE6">
              <w:t xml:space="preserve"> within </w:t>
            </w:r>
            <w:r w:rsidRPr="00D42FE6">
              <w:rPr>
                <w:i/>
              </w:rPr>
              <w:t>VarMeasConfig</w:t>
            </w:r>
            <w:r w:rsidRPr="00D42FE6">
              <w:t xml:space="preserve"> contains an </w:t>
            </w:r>
            <w:r w:rsidRPr="00D42FE6">
              <w:rPr>
                <w:i/>
              </w:rPr>
              <w:t>rsType</w:t>
            </w:r>
            <w:r w:rsidRPr="00D42FE6">
              <w:t xml:space="preserve"> set to </w:t>
            </w:r>
            <w:r w:rsidRPr="00D42FE6">
              <w:rPr>
                <w:i/>
              </w:rPr>
              <w:t>ssb</w:t>
            </w:r>
            <w:r w:rsidRPr="00D42FE6">
              <w:t>:</w:t>
            </w:r>
          </w:p>
          <w:p w14:paraId="543E543F" w14:textId="77777777" w:rsidR="00ED395D" w:rsidRPr="00D42FE6" w:rsidRDefault="00ED395D" w:rsidP="00ED395D">
            <w:pPr>
              <w:pStyle w:val="B3"/>
            </w:pPr>
            <w:r w:rsidRPr="00D42FE6">
              <w:t>3&gt;</w:t>
            </w:r>
            <w:r w:rsidRPr="00D42FE6">
              <w:tab/>
              <w:t xml:space="preserve">if at least one </w:t>
            </w:r>
            <w:r w:rsidRPr="003A4487">
              <w:rPr>
                <w:i/>
              </w:rPr>
              <w:t>measId</w:t>
            </w:r>
            <w:r w:rsidRPr="00D42FE6">
              <w:t xml:space="preserve"> included in the </w:t>
            </w:r>
            <w:r w:rsidRPr="003A4487">
              <w:rPr>
                <w:i/>
              </w:rPr>
              <w:t>measIdList</w:t>
            </w:r>
            <w:r w:rsidRPr="00D42FE6">
              <w:t xml:space="preserve"> within </w:t>
            </w:r>
            <w:r w:rsidRPr="003A4487">
              <w:rPr>
                <w:i/>
              </w:rPr>
              <w:t>VarMeasConfig</w:t>
            </w:r>
            <w:r w:rsidRPr="00D42FE6">
              <w:t xml:space="preserve"> contains a </w:t>
            </w:r>
            <w:r w:rsidRPr="003A4487">
              <w:rPr>
                <w:i/>
              </w:rPr>
              <w:t>reportQuantityRsIndexes</w:t>
            </w:r>
            <w:r w:rsidRPr="00D42FE6">
              <w:t xml:space="preserve"> and </w:t>
            </w:r>
            <w:r w:rsidRPr="003A4487">
              <w:rPr>
                <w:i/>
              </w:rPr>
              <w:t>maxNrofRSIndexesToReport</w:t>
            </w:r>
            <w:r w:rsidRPr="00D42FE6">
              <w:t>:</w:t>
            </w:r>
          </w:p>
          <w:p w14:paraId="7632C7D4" w14:textId="77777777" w:rsidR="00ED395D" w:rsidRPr="00D42FE6" w:rsidRDefault="00ED395D" w:rsidP="00ED395D">
            <w:pPr>
              <w:pStyle w:val="B4"/>
            </w:pPr>
            <w:r w:rsidRPr="00D42FE6">
              <w:t>4&gt;</w:t>
            </w:r>
            <w:r w:rsidRPr="00D42FE6">
              <w:tab/>
              <w:t>derive layer 3 filtered RSRP and RSRQ per beam for the serving cell based on SS/PBCH block, as described in 5.5.3.3a;</w:t>
            </w:r>
          </w:p>
          <w:p w14:paraId="15291325" w14:textId="77777777" w:rsidR="00ED395D" w:rsidRPr="00D42FE6" w:rsidRDefault="00ED395D" w:rsidP="00ED395D">
            <w:pPr>
              <w:pStyle w:val="B3"/>
            </w:pPr>
            <w:r w:rsidRPr="00D42FE6">
              <w:t>3&gt;</w:t>
            </w:r>
            <w:r w:rsidRPr="00D42FE6">
              <w:tab/>
              <w:t>derive serving cell measurement results based on SS/PBCH block, as described in 5.5.3.3;</w:t>
            </w:r>
          </w:p>
          <w:p w14:paraId="63D0211F" w14:textId="77777777" w:rsidR="00ED395D" w:rsidRPr="00D42FE6" w:rsidRDefault="00ED395D" w:rsidP="00ED395D">
            <w:pPr>
              <w:pStyle w:val="B2"/>
            </w:pPr>
            <w:r w:rsidRPr="00D42FE6">
              <w:t>2&gt;</w:t>
            </w:r>
            <w:r w:rsidRPr="00D42FE6">
              <w:tab/>
              <w:t xml:space="preserve">if at least one </w:t>
            </w:r>
            <w:r w:rsidRPr="00D42FE6">
              <w:rPr>
                <w:i/>
              </w:rPr>
              <w:t>measId</w:t>
            </w:r>
            <w:r w:rsidRPr="00D42FE6">
              <w:t xml:space="preserve"> included in the </w:t>
            </w:r>
            <w:r w:rsidRPr="00D42FE6">
              <w:rPr>
                <w:i/>
              </w:rPr>
              <w:t>measIdList</w:t>
            </w:r>
            <w:r w:rsidRPr="00D42FE6">
              <w:t xml:space="preserve"> within </w:t>
            </w:r>
            <w:r w:rsidRPr="00D42FE6">
              <w:rPr>
                <w:i/>
              </w:rPr>
              <w:t>VarMeasConfig</w:t>
            </w:r>
            <w:r w:rsidRPr="00D42FE6">
              <w:t xml:space="preserve"> contains an </w:t>
            </w:r>
            <w:r w:rsidRPr="00D42FE6">
              <w:rPr>
                <w:i/>
              </w:rPr>
              <w:t>rsType</w:t>
            </w:r>
            <w:r w:rsidRPr="00D42FE6">
              <w:t xml:space="preserve"> set to </w:t>
            </w:r>
            <w:r w:rsidRPr="00D42FE6">
              <w:rPr>
                <w:i/>
              </w:rPr>
              <w:t>csi-rs</w:t>
            </w:r>
            <w:r w:rsidRPr="00D42FE6">
              <w:t>:</w:t>
            </w:r>
          </w:p>
          <w:p w14:paraId="42938252" w14:textId="77777777" w:rsidR="00ED395D" w:rsidRPr="00D42FE6" w:rsidRDefault="00ED395D" w:rsidP="00ED395D">
            <w:pPr>
              <w:pStyle w:val="B3"/>
            </w:pPr>
            <w:r w:rsidRPr="00D42FE6">
              <w:t>3&gt;</w:t>
            </w:r>
            <w:r w:rsidRPr="00D42FE6">
              <w:tab/>
              <w:t xml:space="preserve">if at least one measId included in the </w:t>
            </w:r>
            <w:r w:rsidRPr="003A4487">
              <w:rPr>
                <w:i/>
              </w:rPr>
              <w:t>measIdList</w:t>
            </w:r>
            <w:r w:rsidRPr="00D42FE6">
              <w:t xml:space="preserve"> within </w:t>
            </w:r>
            <w:r w:rsidRPr="003A4487">
              <w:rPr>
                <w:i/>
              </w:rPr>
              <w:t>VarMeasConfig</w:t>
            </w:r>
            <w:r w:rsidRPr="00D42FE6">
              <w:t xml:space="preserve"> contains a </w:t>
            </w:r>
            <w:r w:rsidRPr="003A4487">
              <w:rPr>
                <w:i/>
              </w:rPr>
              <w:t>reportQuantityRsIndexes</w:t>
            </w:r>
            <w:r w:rsidRPr="00D42FE6">
              <w:t xml:space="preserve"> and </w:t>
            </w:r>
            <w:r w:rsidRPr="003A4487">
              <w:rPr>
                <w:i/>
              </w:rPr>
              <w:t>maxNrofRSIndexesToReport</w:t>
            </w:r>
            <w:r w:rsidRPr="00D42FE6">
              <w:t>:</w:t>
            </w:r>
          </w:p>
          <w:p w14:paraId="2FFB5862" w14:textId="77777777" w:rsidR="00ED395D" w:rsidRPr="00D42FE6" w:rsidRDefault="00ED395D" w:rsidP="00ED395D">
            <w:pPr>
              <w:pStyle w:val="B4"/>
            </w:pPr>
            <w:r w:rsidRPr="00D42FE6">
              <w:t>4&gt;</w:t>
            </w:r>
            <w:r w:rsidRPr="00D42FE6">
              <w:tab/>
              <w:t>derive layer 3 filtered RSRP and RSRQ per beam for the serving cell based on CSI-RS, as described in 5.5.3.3a;</w:t>
            </w:r>
          </w:p>
          <w:p w14:paraId="587A8436" w14:textId="77777777" w:rsidR="00ED395D" w:rsidRPr="00D42FE6" w:rsidRDefault="00ED395D" w:rsidP="00ED395D">
            <w:pPr>
              <w:pStyle w:val="B3"/>
            </w:pPr>
            <w:r w:rsidRPr="00D42FE6">
              <w:t>3&gt;</w:t>
            </w:r>
            <w:r w:rsidRPr="00D42FE6">
              <w:tab/>
              <w:t>derive serving cell measurement results based on CSI-RS, as described in 5.5.3.3;</w:t>
            </w:r>
            <w:bookmarkStart w:id="1" w:name="_Hlk497717236"/>
          </w:p>
          <w:bookmarkEnd w:id="1"/>
          <w:p w14:paraId="6F2EF8EF" w14:textId="77777777" w:rsidR="00ED395D" w:rsidRPr="00D42FE6" w:rsidRDefault="00ED395D" w:rsidP="00ED395D">
            <w:pPr>
              <w:pStyle w:val="B1"/>
            </w:pPr>
            <w:r w:rsidRPr="00D42FE6">
              <w:t>1&gt;</w:t>
            </w:r>
            <w:r w:rsidRPr="00D42FE6">
              <w:tab/>
            </w:r>
            <w:r w:rsidRPr="00ED395D">
              <w:rPr>
                <w:highlight w:val="yellow"/>
              </w:rPr>
              <w:t xml:space="preserve">if at least one </w:t>
            </w:r>
            <w:r w:rsidRPr="00ED395D">
              <w:rPr>
                <w:i/>
                <w:highlight w:val="yellow"/>
              </w:rPr>
              <w:t>measId</w:t>
            </w:r>
            <w:r w:rsidRPr="00ED395D">
              <w:rPr>
                <w:highlight w:val="yellow"/>
              </w:rPr>
              <w:t xml:space="preserve"> included in the </w:t>
            </w:r>
            <w:r w:rsidRPr="00ED395D">
              <w:rPr>
                <w:i/>
                <w:highlight w:val="yellow"/>
              </w:rPr>
              <w:t>measIdList</w:t>
            </w:r>
            <w:r w:rsidRPr="00ED395D">
              <w:rPr>
                <w:highlight w:val="yellow"/>
              </w:rPr>
              <w:t xml:space="preserve"> within </w:t>
            </w:r>
            <w:r w:rsidRPr="00ED395D">
              <w:rPr>
                <w:i/>
                <w:highlight w:val="yellow"/>
              </w:rPr>
              <w:t xml:space="preserve">VarMeasConfig </w:t>
            </w:r>
            <w:r w:rsidRPr="00ED395D">
              <w:rPr>
                <w:highlight w:val="yellow"/>
              </w:rPr>
              <w:t>contains SINR as trigger quantity and/or reporting quantity:</w:t>
            </w:r>
          </w:p>
          <w:p w14:paraId="7810E98C" w14:textId="77777777" w:rsidR="00ED395D" w:rsidRPr="00D42FE6" w:rsidRDefault="00ED395D" w:rsidP="00ED395D">
            <w:pPr>
              <w:pStyle w:val="B2"/>
            </w:pPr>
            <w:r w:rsidRPr="00D42FE6">
              <w:t>2&gt;</w:t>
            </w:r>
            <w:r w:rsidRPr="00D42FE6">
              <w:tab/>
              <w:t xml:space="preserve">if the associated </w:t>
            </w:r>
            <w:r w:rsidRPr="00D42FE6">
              <w:rPr>
                <w:i/>
              </w:rPr>
              <w:t>reportConfig</w:t>
            </w:r>
            <w:r w:rsidRPr="00D42FE6">
              <w:t xml:space="preserve"> contains </w:t>
            </w:r>
            <w:r w:rsidRPr="00D42FE6">
              <w:rPr>
                <w:i/>
              </w:rPr>
              <w:t>rsType</w:t>
            </w:r>
            <w:r w:rsidRPr="00D42FE6">
              <w:t xml:space="preserve"> set to </w:t>
            </w:r>
            <w:r w:rsidRPr="00D42FE6">
              <w:rPr>
                <w:i/>
              </w:rPr>
              <w:t>ssb</w:t>
            </w:r>
            <w:r w:rsidRPr="00D42FE6">
              <w:t>:</w:t>
            </w:r>
          </w:p>
          <w:p w14:paraId="3BDCA276" w14:textId="77777777" w:rsidR="00ED395D" w:rsidRPr="00D42FE6" w:rsidRDefault="00ED395D" w:rsidP="00ED395D">
            <w:pPr>
              <w:pStyle w:val="B3"/>
            </w:pPr>
            <w:r w:rsidRPr="00D42FE6">
              <w:t>3&gt;</w:t>
            </w:r>
            <w:r w:rsidRPr="00D42FE6">
              <w:tab/>
            </w:r>
            <w:bookmarkStart w:id="2" w:name="_Hlk500240205"/>
            <w:r w:rsidRPr="00D42FE6">
              <w:t xml:space="preserve">if the </w:t>
            </w:r>
            <w:r w:rsidRPr="003A4487">
              <w:rPr>
                <w:i/>
              </w:rPr>
              <w:t>measId</w:t>
            </w:r>
            <w:r w:rsidRPr="00D42FE6">
              <w:t xml:space="preserve"> contains a </w:t>
            </w:r>
            <w:r w:rsidRPr="003A4487">
              <w:rPr>
                <w:i/>
              </w:rPr>
              <w:t>reportQuantityRsIndexes</w:t>
            </w:r>
            <w:bookmarkEnd w:id="2"/>
            <w:r w:rsidRPr="00D42FE6">
              <w:t xml:space="preserve"> and </w:t>
            </w:r>
            <w:r w:rsidRPr="003A4487">
              <w:rPr>
                <w:i/>
              </w:rPr>
              <w:t>maxNrofRSIndexesToReport</w:t>
            </w:r>
            <w:r w:rsidRPr="00D42FE6">
              <w:t>:</w:t>
            </w:r>
          </w:p>
          <w:p w14:paraId="1A51536C" w14:textId="77777777" w:rsidR="00ED395D" w:rsidRPr="00D42FE6" w:rsidRDefault="00ED395D" w:rsidP="00ED395D">
            <w:pPr>
              <w:pStyle w:val="B4"/>
            </w:pPr>
            <w:r w:rsidRPr="00D42FE6">
              <w:t>4&gt;</w:t>
            </w:r>
            <w:r w:rsidRPr="00D42FE6">
              <w:tab/>
            </w:r>
            <w:bookmarkStart w:id="3" w:name="_Hlk500239912"/>
            <w:r w:rsidRPr="00D42FE6">
              <w:t>derive layer 3 filtered SINR per beam for the serving cell based on SS/PBCH block, as described in 5.5.3.3a;</w:t>
            </w:r>
          </w:p>
          <w:bookmarkEnd w:id="3"/>
          <w:p w14:paraId="3CFA25CF" w14:textId="77777777" w:rsidR="00ED395D" w:rsidRPr="00D42FE6" w:rsidRDefault="00ED395D" w:rsidP="00ED395D">
            <w:pPr>
              <w:pStyle w:val="B3"/>
            </w:pPr>
            <w:r w:rsidRPr="00ED395D">
              <w:rPr>
                <w:highlight w:val="yellow"/>
              </w:rPr>
              <w:t>3&gt;</w:t>
            </w:r>
            <w:r w:rsidRPr="00ED395D">
              <w:rPr>
                <w:highlight w:val="yellow"/>
              </w:rPr>
              <w:tab/>
              <w:t>derive serving cell SINR based on SS/PBCH block, as described in 5.5.3.3;</w:t>
            </w:r>
          </w:p>
          <w:p w14:paraId="63894C4A" w14:textId="77777777" w:rsidR="00ED395D" w:rsidRPr="00D42FE6" w:rsidRDefault="00ED395D" w:rsidP="00ED395D">
            <w:pPr>
              <w:pStyle w:val="B2"/>
            </w:pPr>
            <w:r w:rsidRPr="00D42FE6">
              <w:t>2&gt;</w:t>
            </w:r>
            <w:r w:rsidRPr="00D42FE6">
              <w:tab/>
              <w:t xml:space="preserve">if the associated </w:t>
            </w:r>
            <w:r w:rsidRPr="00D42FE6">
              <w:rPr>
                <w:i/>
              </w:rPr>
              <w:t>reportConfig</w:t>
            </w:r>
            <w:r w:rsidRPr="00D42FE6">
              <w:t xml:space="preserve"> contains </w:t>
            </w:r>
            <w:r w:rsidRPr="00D42FE6">
              <w:rPr>
                <w:i/>
              </w:rPr>
              <w:t>rsType</w:t>
            </w:r>
            <w:r w:rsidRPr="00D42FE6">
              <w:t xml:space="preserve"> set to </w:t>
            </w:r>
            <w:r w:rsidRPr="00D42FE6">
              <w:rPr>
                <w:i/>
              </w:rPr>
              <w:t>csi-rs</w:t>
            </w:r>
            <w:r w:rsidRPr="00D42FE6">
              <w:t>:</w:t>
            </w:r>
          </w:p>
          <w:p w14:paraId="2540A7C6" w14:textId="77777777" w:rsidR="00ED395D" w:rsidRPr="00D42FE6" w:rsidRDefault="00ED395D" w:rsidP="00ED395D">
            <w:pPr>
              <w:pStyle w:val="B3"/>
            </w:pPr>
            <w:r w:rsidRPr="00D42FE6">
              <w:t>3&gt;</w:t>
            </w:r>
            <w:r w:rsidRPr="00D42FE6">
              <w:tab/>
              <w:t xml:space="preserve">if the </w:t>
            </w:r>
            <w:r w:rsidRPr="003A4487">
              <w:rPr>
                <w:i/>
              </w:rPr>
              <w:t>measId</w:t>
            </w:r>
            <w:r w:rsidRPr="00D42FE6">
              <w:t xml:space="preserve"> contains a </w:t>
            </w:r>
            <w:r w:rsidRPr="003A4487">
              <w:rPr>
                <w:i/>
              </w:rPr>
              <w:t>reportQuantityRsIndexes</w:t>
            </w:r>
            <w:r w:rsidRPr="00D42FE6">
              <w:t xml:space="preserve"> and </w:t>
            </w:r>
            <w:r w:rsidRPr="003A4487">
              <w:rPr>
                <w:i/>
              </w:rPr>
              <w:t>maxNrofRSIndexesToReport</w:t>
            </w:r>
            <w:r w:rsidRPr="00D42FE6">
              <w:t>:</w:t>
            </w:r>
          </w:p>
          <w:p w14:paraId="3C711831" w14:textId="77777777" w:rsidR="00ED395D" w:rsidRPr="00D42FE6" w:rsidRDefault="00ED395D" w:rsidP="00ED395D">
            <w:pPr>
              <w:pStyle w:val="B4"/>
            </w:pPr>
            <w:r w:rsidRPr="00D42FE6">
              <w:t>4&gt;</w:t>
            </w:r>
            <w:r w:rsidRPr="00D42FE6">
              <w:tab/>
              <w:t>derive layer 3 filtered SINR per beam for the serving cell based on CSI-RS, as described in 5.5.3.3a;</w:t>
            </w:r>
          </w:p>
          <w:p w14:paraId="74A37E48" w14:textId="4D789C69" w:rsidR="00ED395D" w:rsidRPr="00ED395D" w:rsidRDefault="00ED395D" w:rsidP="00ED395D">
            <w:pPr>
              <w:pStyle w:val="B3"/>
            </w:pPr>
            <w:r w:rsidRPr="00D42FE6">
              <w:t>3&gt;</w:t>
            </w:r>
            <w:r w:rsidRPr="00D42FE6">
              <w:tab/>
              <w:t>derive serving cell SINR based on CSI-RS, as described in 5.5.3.3;</w:t>
            </w:r>
          </w:p>
        </w:tc>
      </w:tr>
    </w:tbl>
    <w:p w14:paraId="2EF73789" w14:textId="77EA0330" w:rsidR="00A954E5" w:rsidRDefault="00A954E5" w:rsidP="000F5C2B">
      <w:pPr>
        <w:jc w:val="both"/>
        <w:rPr>
          <w:rFonts w:eastAsiaTheme="minorEastAsia"/>
        </w:rPr>
      </w:pPr>
      <w:r>
        <w:rPr>
          <w:rFonts w:eastAsiaTheme="minorEastAsia" w:hint="eastAsia"/>
        </w:rPr>
        <w:t>In short, measuring serving cell doesn</w:t>
      </w:r>
      <w:r>
        <w:rPr>
          <w:rFonts w:eastAsiaTheme="minorEastAsia"/>
        </w:rPr>
        <w:t>’t need to associate corresponding MO</w:t>
      </w:r>
      <w:r w:rsidRPr="0070387F">
        <w:rPr>
          <w:rFonts w:eastAsiaTheme="minorEastAsia"/>
        </w:rPr>
        <w:t xml:space="preserve"> with </w:t>
      </w:r>
      <w:r>
        <w:rPr>
          <w:rFonts w:eastAsiaTheme="minorEastAsia"/>
        </w:rPr>
        <w:t xml:space="preserve">any </w:t>
      </w:r>
      <w:r w:rsidRPr="0070387F">
        <w:rPr>
          <w:rFonts w:eastAsiaTheme="minorEastAsia"/>
        </w:rPr>
        <w:t>report configuration</w:t>
      </w:r>
      <w:r>
        <w:rPr>
          <w:rFonts w:eastAsiaTheme="minorEastAsia"/>
        </w:rPr>
        <w:t>. On the other hand, UE should measure intra-frequency neighbor cells</w:t>
      </w:r>
      <w:r>
        <w:rPr>
          <w:rFonts w:eastAsiaTheme="minorEastAsia" w:hint="eastAsia"/>
        </w:rPr>
        <w:t xml:space="preserve">/beams on the full-capability CC. </w:t>
      </w:r>
      <w:r w:rsidR="00033BFB">
        <w:rPr>
          <w:rFonts w:eastAsiaTheme="minorEastAsia"/>
        </w:rPr>
        <w:t>I</w:t>
      </w:r>
      <w:r>
        <w:rPr>
          <w:rFonts w:eastAsiaTheme="minorEastAsia"/>
        </w:rPr>
        <w:t xml:space="preserve">t is reasonable and necessary to associate the MO of full-capability CC with some report </w:t>
      </w:r>
      <w:r>
        <w:rPr>
          <w:rFonts w:eastAsiaTheme="minorEastAsia"/>
        </w:rPr>
        <w:lastRenderedPageBreak/>
        <w:t>config</w:t>
      </w:r>
      <w:r w:rsidR="00033BFB">
        <w:rPr>
          <w:rFonts w:eastAsiaTheme="minorEastAsia"/>
        </w:rPr>
        <w:t>uration to inform UE the quantity that it needs to perform on neighbor cells. As a result, whether corresponding MO is associated with some report configuration can be considered as the indication of full-capability CC.</w:t>
      </w:r>
    </w:p>
    <w:p w14:paraId="18EEA125" w14:textId="7E86A019" w:rsidR="00E875CE" w:rsidRDefault="00033BFB" w:rsidP="000F5C2B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It is important to note that </w:t>
      </w:r>
      <w:r>
        <w:rPr>
          <w:rFonts w:eastAsiaTheme="minorEastAsia"/>
        </w:rPr>
        <w:t xml:space="preserve">not only report configurations with </w:t>
      </w:r>
      <w:r w:rsidRPr="00033BFB">
        <w:rPr>
          <w:rFonts w:eastAsiaTheme="minorEastAsia"/>
          <w:i/>
        </w:rPr>
        <w:t>rsType</w:t>
      </w:r>
      <w:r>
        <w:rPr>
          <w:rFonts w:eastAsiaTheme="minorEastAsia"/>
        </w:rPr>
        <w:t xml:space="preserve"> set to </w:t>
      </w:r>
      <w:r w:rsidRPr="00033BFB">
        <w:rPr>
          <w:rFonts w:eastAsiaTheme="minorEastAsia"/>
          <w:i/>
        </w:rPr>
        <w:t>ssb</w:t>
      </w:r>
      <w:r>
        <w:rPr>
          <w:rFonts w:eastAsiaTheme="minorEastAsia"/>
        </w:rPr>
        <w:t xml:space="preserve">, but also report configurations with </w:t>
      </w:r>
      <w:r w:rsidRPr="00033BFB">
        <w:rPr>
          <w:rFonts w:eastAsiaTheme="minorEastAsia"/>
          <w:i/>
        </w:rPr>
        <w:t>rsType</w:t>
      </w:r>
      <w:r>
        <w:rPr>
          <w:rFonts w:eastAsiaTheme="minorEastAsia"/>
        </w:rPr>
        <w:t xml:space="preserve"> set to </w:t>
      </w:r>
      <w:r w:rsidRPr="00033BFB">
        <w:rPr>
          <w:rFonts w:eastAsiaTheme="minorEastAsia"/>
          <w:i/>
        </w:rPr>
        <w:t>csi-rs</w:t>
      </w:r>
      <w:r>
        <w:rPr>
          <w:rFonts w:eastAsiaTheme="minorEastAsia"/>
        </w:rPr>
        <w:t xml:space="preserve"> may be associated to one MO. So It must be restricted that a CC is indicated as full-capability CC only if its MO is associated to a report configurations with </w:t>
      </w:r>
      <w:r w:rsidRPr="00033BFB">
        <w:rPr>
          <w:rFonts w:eastAsiaTheme="minorEastAsia"/>
          <w:i/>
        </w:rPr>
        <w:t>rsType</w:t>
      </w:r>
      <w:r>
        <w:rPr>
          <w:rFonts w:eastAsiaTheme="minorEastAsia"/>
        </w:rPr>
        <w:t xml:space="preserve"> set to </w:t>
      </w:r>
      <w:r w:rsidRPr="00033BFB">
        <w:rPr>
          <w:rFonts w:eastAsiaTheme="minorEastAsia"/>
          <w:i/>
        </w:rPr>
        <w:t>ssb</w:t>
      </w:r>
      <w:r>
        <w:rPr>
          <w:rFonts w:eastAsiaTheme="minorEastAsia"/>
          <w:i/>
        </w:rPr>
        <w:t>.</w:t>
      </w:r>
      <w:r w:rsidR="00C57AAC">
        <w:rPr>
          <w:rFonts w:eastAsiaTheme="minorEastAsia"/>
          <w:i/>
        </w:rPr>
        <w:t xml:space="preserve"> </w:t>
      </w:r>
    </w:p>
    <w:p w14:paraId="326CB2FF" w14:textId="0D022B85" w:rsidR="00E875CE" w:rsidRDefault="00C57AAC" w:rsidP="000F5C2B">
      <w:pPr>
        <w:jc w:val="both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flter </w:t>
      </w:r>
      <w:r>
        <w:rPr>
          <w:rFonts w:eastAsiaTheme="minorEastAsia"/>
        </w:rPr>
        <w:t>all, We propose to choose full-capability CC as follows</w:t>
      </w:r>
      <w:r w:rsidR="004969D0">
        <w:rPr>
          <w:rFonts w:eastAsiaTheme="minorEastAsia" w:hint="eastAsia"/>
        </w:rPr>
        <w:t>：</w:t>
      </w:r>
    </w:p>
    <w:p w14:paraId="080B5DB1" w14:textId="724A3B21" w:rsidR="004969D0" w:rsidRPr="00C57AAC" w:rsidRDefault="004969D0" w:rsidP="00C57AAC">
      <w:pPr>
        <w:jc w:val="both"/>
        <w:rPr>
          <w:rFonts w:eastAsiaTheme="minorEastAsia"/>
          <w:b/>
          <w:i/>
        </w:rPr>
      </w:pPr>
      <w:r w:rsidRPr="00F14F89">
        <w:rPr>
          <w:rFonts w:eastAsiaTheme="minorEastAsia"/>
          <w:b/>
          <w:i/>
        </w:rPr>
        <w:t>Proposal 1</w:t>
      </w:r>
      <w:r w:rsidRPr="00F14F89">
        <w:rPr>
          <w:rFonts w:eastAsiaTheme="minorEastAsia" w:hint="eastAsia"/>
          <w:b/>
          <w:i/>
        </w:rPr>
        <w:t>：</w:t>
      </w:r>
      <w:r w:rsidR="00C57AAC" w:rsidRPr="00C57AAC">
        <w:rPr>
          <w:rFonts w:eastAsiaTheme="minorEastAsia" w:hint="eastAsia"/>
          <w:b/>
          <w:i/>
        </w:rPr>
        <w:t>PCC or PSCC</w:t>
      </w:r>
      <w:r w:rsidRPr="00F14F89">
        <w:rPr>
          <w:rFonts w:eastAsiaTheme="minorEastAsia" w:hint="eastAsia"/>
          <w:b/>
          <w:i/>
        </w:rPr>
        <w:t xml:space="preserve"> in FR2 </w:t>
      </w:r>
      <w:r w:rsidR="00C57AAC">
        <w:rPr>
          <w:rFonts w:eastAsiaTheme="minorEastAsia"/>
          <w:b/>
          <w:i/>
        </w:rPr>
        <w:t xml:space="preserve">should be chosen as </w:t>
      </w:r>
      <w:r w:rsidRPr="00F14F89">
        <w:rPr>
          <w:rFonts w:eastAsiaTheme="minorEastAsia"/>
          <w:b/>
          <w:i/>
        </w:rPr>
        <w:t>full-capability CC</w:t>
      </w:r>
      <w:r w:rsidR="00C57AAC">
        <w:rPr>
          <w:rFonts w:eastAsiaTheme="minorEastAsia"/>
          <w:b/>
          <w:i/>
        </w:rPr>
        <w:t>. If t</w:t>
      </w:r>
      <w:r w:rsidRPr="00C57AAC">
        <w:rPr>
          <w:rFonts w:eastAsiaTheme="minorEastAsia" w:hint="eastAsia"/>
          <w:b/>
          <w:i/>
        </w:rPr>
        <w:t>here</w:t>
      </w:r>
      <w:r w:rsidRPr="00C57AAC">
        <w:rPr>
          <w:rFonts w:eastAsiaTheme="minorEastAsia"/>
          <w:b/>
          <w:i/>
        </w:rPr>
        <w:t xml:space="preserve"> is no PCC or PSCC in </w:t>
      </w:r>
      <w:r w:rsidR="00C57AAC">
        <w:rPr>
          <w:rFonts w:eastAsiaTheme="minorEastAsia"/>
          <w:b/>
          <w:i/>
        </w:rPr>
        <w:t>that</w:t>
      </w:r>
      <w:r w:rsidRPr="00C57AAC">
        <w:rPr>
          <w:rFonts w:eastAsiaTheme="minorEastAsia"/>
          <w:b/>
          <w:i/>
        </w:rPr>
        <w:t xml:space="preserve"> band, </w:t>
      </w:r>
      <w:r w:rsidR="00A17590">
        <w:rPr>
          <w:rFonts w:eastAsiaTheme="minorEastAsia"/>
          <w:b/>
          <w:i/>
        </w:rPr>
        <w:t xml:space="preserve">then </w:t>
      </w:r>
      <w:r w:rsidR="00C57AAC">
        <w:rPr>
          <w:rFonts w:eastAsiaTheme="minorEastAsia"/>
          <w:b/>
          <w:i/>
        </w:rPr>
        <w:t>the SCC whose</w:t>
      </w:r>
      <w:r w:rsidRPr="00C57AAC">
        <w:rPr>
          <w:rFonts w:eastAsiaTheme="minorEastAsia"/>
          <w:b/>
          <w:i/>
        </w:rPr>
        <w:t xml:space="preserve"> corresponding MO is associated to a report config</w:t>
      </w:r>
      <w:r w:rsidR="00C57AAC">
        <w:rPr>
          <w:rFonts w:eastAsiaTheme="minorEastAsia"/>
          <w:b/>
          <w:i/>
        </w:rPr>
        <w:t>uration</w:t>
      </w:r>
      <w:r w:rsidRPr="00C57AAC">
        <w:rPr>
          <w:rFonts w:eastAsiaTheme="minorEastAsia"/>
          <w:b/>
          <w:i/>
        </w:rPr>
        <w:t xml:space="preserve"> </w:t>
      </w:r>
      <w:r w:rsidR="00C57AAC" w:rsidRPr="00C57AAC">
        <w:rPr>
          <w:rFonts w:eastAsiaTheme="minorEastAsia"/>
          <w:b/>
          <w:i/>
        </w:rPr>
        <w:t xml:space="preserve">with </w:t>
      </w:r>
      <w:r w:rsidR="00C57AAC" w:rsidRPr="00C57AAC">
        <w:rPr>
          <w:rFonts w:eastAsiaTheme="minorEastAsia"/>
          <w:b/>
        </w:rPr>
        <w:t>rsType</w:t>
      </w:r>
      <w:r w:rsidR="00C57AAC" w:rsidRPr="00C57AAC">
        <w:rPr>
          <w:rFonts w:eastAsiaTheme="minorEastAsia"/>
          <w:b/>
          <w:i/>
        </w:rPr>
        <w:t xml:space="preserve"> set to</w:t>
      </w:r>
      <w:r w:rsidR="00C57AAC" w:rsidRPr="00A17590">
        <w:rPr>
          <w:rFonts w:eastAsiaTheme="minorEastAsia"/>
          <w:b/>
        </w:rPr>
        <w:t xml:space="preserve"> ssb </w:t>
      </w:r>
      <w:r w:rsidR="00C57AAC" w:rsidRPr="00C57AAC">
        <w:rPr>
          <w:rFonts w:eastAsiaTheme="minorEastAsia"/>
          <w:b/>
          <w:i/>
        </w:rPr>
        <w:t>should be chosen as full-capability CC</w:t>
      </w:r>
      <w:r w:rsidRPr="00C57AAC">
        <w:rPr>
          <w:rFonts w:eastAsiaTheme="minorEastAsia"/>
          <w:b/>
          <w:i/>
        </w:rPr>
        <w:t>.</w:t>
      </w:r>
    </w:p>
    <w:p w14:paraId="7E77D09A" w14:textId="686BC093" w:rsidR="00F14F89" w:rsidRPr="00F14F89" w:rsidRDefault="00F14F89" w:rsidP="00F14F89">
      <w:pPr>
        <w:jc w:val="both"/>
        <w:rPr>
          <w:rFonts w:eastAsiaTheme="minorEastAsia"/>
          <w:b/>
          <w:i/>
        </w:rPr>
      </w:pPr>
      <w:r w:rsidRPr="00F14F89">
        <w:rPr>
          <w:rFonts w:eastAsiaTheme="minorEastAsia"/>
          <w:b/>
          <w:i/>
        </w:rPr>
        <w:t>Proposal 2: If proposal 1 is agreed, send LS to RAN2 to inform them the decision of RAN4.</w:t>
      </w:r>
    </w:p>
    <w:p w14:paraId="54CF376A" w14:textId="350C565A" w:rsidR="00A4635D" w:rsidRPr="0053142D" w:rsidRDefault="00E035A7" w:rsidP="00D674CD">
      <w:pPr>
        <w:jc w:val="both"/>
      </w:pPr>
      <w:r>
        <w:t xml:space="preserve">Corresponding draft </w:t>
      </w:r>
      <w:r w:rsidR="00363793">
        <w:t>CR</w:t>
      </w:r>
      <w:r>
        <w:t xml:space="preserve"> </w:t>
      </w:r>
      <w:r w:rsidR="00F14F89">
        <w:t>and LS are</w:t>
      </w:r>
      <w:r w:rsidR="00D674CD" w:rsidRPr="00D674CD">
        <w:t xml:space="preserve"> give</w:t>
      </w:r>
      <w:r w:rsidR="0053142D">
        <w:t>n in [</w:t>
      </w:r>
      <w:r>
        <w:t>2</w:t>
      </w:r>
      <w:r w:rsidR="0053142D">
        <w:t>]</w:t>
      </w:r>
      <w:r w:rsidR="00F14F89">
        <w:t xml:space="preserve"> and [3] respectively</w:t>
      </w:r>
      <w:r w:rsidR="0053142D">
        <w:t>.</w:t>
      </w:r>
    </w:p>
    <w:p w14:paraId="7A533A9F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411D90F9" w14:textId="1794208C" w:rsidR="00746E62" w:rsidRDefault="0053142D" w:rsidP="00746E62">
      <w:pPr>
        <w:jc w:val="both"/>
      </w:pPr>
      <w:r>
        <w:t xml:space="preserve">In this contribution </w:t>
      </w:r>
      <w:r w:rsidR="00363793">
        <w:rPr>
          <w:rFonts w:hint="eastAsia"/>
        </w:rPr>
        <w:t xml:space="preserve">remaining </w:t>
      </w:r>
      <w:r w:rsidR="00363793">
        <w:t xml:space="preserve">issues on </w:t>
      </w:r>
      <w:r w:rsidR="00F14F89">
        <w:t>UE measurement capability</w:t>
      </w:r>
      <w:r w:rsidR="00363793">
        <w:t xml:space="preserve"> are</w:t>
      </w:r>
      <w:r w:rsidR="00E035A7">
        <w:t xml:space="preserve"> discussed and t</w:t>
      </w:r>
      <w:r w:rsidR="00CE0183">
        <w:t xml:space="preserve">he following proposal is given. </w:t>
      </w:r>
    </w:p>
    <w:p w14:paraId="52B86119" w14:textId="77777777" w:rsidR="00C57AAC" w:rsidRPr="00C57AAC" w:rsidRDefault="00C57AAC" w:rsidP="00C57AAC">
      <w:pPr>
        <w:jc w:val="both"/>
        <w:rPr>
          <w:rFonts w:eastAsiaTheme="minorEastAsia"/>
          <w:b/>
          <w:i/>
        </w:rPr>
      </w:pPr>
      <w:r w:rsidRPr="00F14F89">
        <w:rPr>
          <w:rFonts w:eastAsiaTheme="minorEastAsia"/>
          <w:b/>
          <w:i/>
        </w:rPr>
        <w:t>Proposal 1</w:t>
      </w:r>
      <w:r w:rsidRPr="00F14F89">
        <w:rPr>
          <w:rFonts w:eastAsiaTheme="minorEastAsia" w:hint="eastAsia"/>
          <w:b/>
          <w:i/>
        </w:rPr>
        <w:t>：</w:t>
      </w:r>
      <w:r w:rsidRPr="00C57AAC">
        <w:rPr>
          <w:rFonts w:eastAsiaTheme="minorEastAsia" w:hint="eastAsia"/>
          <w:b/>
          <w:i/>
        </w:rPr>
        <w:t>PCC or PSCC</w:t>
      </w:r>
      <w:r w:rsidRPr="00F14F89">
        <w:rPr>
          <w:rFonts w:eastAsiaTheme="minorEastAsia" w:hint="eastAsia"/>
          <w:b/>
          <w:i/>
        </w:rPr>
        <w:t xml:space="preserve"> in FR2 </w:t>
      </w:r>
      <w:r>
        <w:rPr>
          <w:rFonts w:eastAsiaTheme="minorEastAsia"/>
          <w:b/>
          <w:i/>
        </w:rPr>
        <w:t xml:space="preserve">should be chosen as </w:t>
      </w:r>
      <w:r w:rsidRPr="00F14F89">
        <w:rPr>
          <w:rFonts w:eastAsiaTheme="minorEastAsia"/>
          <w:b/>
          <w:i/>
        </w:rPr>
        <w:t>full-capability CC</w:t>
      </w:r>
      <w:r>
        <w:rPr>
          <w:rFonts w:eastAsiaTheme="minorEastAsia"/>
          <w:b/>
          <w:i/>
        </w:rPr>
        <w:t>. If t</w:t>
      </w:r>
      <w:r w:rsidRPr="00C57AAC">
        <w:rPr>
          <w:rFonts w:eastAsiaTheme="minorEastAsia" w:hint="eastAsia"/>
          <w:b/>
          <w:i/>
        </w:rPr>
        <w:t>here</w:t>
      </w:r>
      <w:r w:rsidRPr="00C57AAC">
        <w:rPr>
          <w:rFonts w:eastAsiaTheme="minorEastAsia"/>
          <w:b/>
          <w:i/>
        </w:rPr>
        <w:t xml:space="preserve"> is no PCC or PSCC in </w:t>
      </w:r>
      <w:r>
        <w:rPr>
          <w:rFonts w:eastAsiaTheme="minorEastAsia"/>
          <w:b/>
          <w:i/>
        </w:rPr>
        <w:t>that</w:t>
      </w:r>
      <w:r w:rsidRPr="00C57AAC">
        <w:rPr>
          <w:rFonts w:eastAsiaTheme="minorEastAsia"/>
          <w:b/>
          <w:i/>
        </w:rPr>
        <w:t xml:space="preserve"> band, </w:t>
      </w:r>
      <w:r>
        <w:rPr>
          <w:rFonts w:eastAsiaTheme="minorEastAsia"/>
          <w:b/>
          <w:i/>
        </w:rPr>
        <w:t xml:space="preserve">then </w:t>
      </w:r>
      <w:r w:rsidRPr="00C57AAC">
        <w:rPr>
          <w:rFonts w:eastAsiaTheme="minorEastAsia"/>
          <w:b/>
          <w:i/>
        </w:rPr>
        <w:t xml:space="preserve">the only SCC in the band or </w:t>
      </w:r>
      <w:r>
        <w:rPr>
          <w:rFonts w:eastAsiaTheme="minorEastAsia"/>
          <w:b/>
          <w:i/>
        </w:rPr>
        <w:t>the SCC whose</w:t>
      </w:r>
      <w:r w:rsidRPr="00C57AAC">
        <w:rPr>
          <w:rFonts w:eastAsiaTheme="minorEastAsia"/>
          <w:b/>
          <w:i/>
        </w:rPr>
        <w:t xml:space="preserve"> corresponding MO is associated to a report config</w:t>
      </w:r>
      <w:r>
        <w:rPr>
          <w:rFonts w:eastAsiaTheme="minorEastAsia"/>
          <w:b/>
          <w:i/>
        </w:rPr>
        <w:t>uration</w:t>
      </w:r>
      <w:r w:rsidRPr="00C57AAC">
        <w:rPr>
          <w:rFonts w:eastAsiaTheme="minorEastAsia"/>
          <w:b/>
          <w:i/>
        </w:rPr>
        <w:t xml:space="preserve"> with </w:t>
      </w:r>
      <w:r w:rsidRPr="00C57AAC">
        <w:rPr>
          <w:rFonts w:eastAsiaTheme="minorEastAsia"/>
          <w:b/>
        </w:rPr>
        <w:t>rsType</w:t>
      </w:r>
      <w:r w:rsidRPr="00C57AAC">
        <w:rPr>
          <w:rFonts w:eastAsiaTheme="minorEastAsia"/>
          <w:b/>
          <w:i/>
        </w:rPr>
        <w:t xml:space="preserve"> set to ssb should be chosen as full-capability CC.</w:t>
      </w:r>
    </w:p>
    <w:p w14:paraId="0671E237" w14:textId="77777777" w:rsidR="00C57AAC" w:rsidRPr="00F14F89" w:rsidRDefault="00C57AAC" w:rsidP="00C57AAC">
      <w:pPr>
        <w:jc w:val="both"/>
        <w:rPr>
          <w:rFonts w:eastAsiaTheme="minorEastAsia"/>
          <w:b/>
          <w:i/>
        </w:rPr>
      </w:pPr>
      <w:r w:rsidRPr="00F14F89">
        <w:rPr>
          <w:rFonts w:eastAsiaTheme="minorEastAsia"/>
          <w:b/>
          <w:i/>
        </w:rPr>
        <w:t>Proposal 2: If proposal 1 is agreed, send LS to RAN2 to inform them the decision of RAN4.</w:t>
      </w:r>
    </w:p>
    <w:p w14:paraId="5916CC6D" w14:textId="12B2BFF8" w:rsidR="00F14F89" w:rsidRPr="00F14F89" w:rsidRDefault="00F14F89" w:rsidP="00F14F89">
      <w:pPr>
        <w:jc w:val="both"/>
      </w:pPr>
      <w:r>
        <w:t>Corresponding draft CR and LS are</w:t>
      </w:r>
      <w:r w:rsidRPr="00D674CD">
        <w:t xml:space="preserve"> give</w:t>
      </w:r>
      <w:r>
        <w:t>n in [2] and [3] respectively.</w:t>
      </w:r>
    </w:p>
    <w:p w14:paraId="2D302014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0B163113" w14:textId="31F428ED" w:rsidR="00993613" w:rsidRDefault="00CE0183" w:rsidP="004C205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[1] </w:t>
      </w:r>
      <w:r w:rsidR="00B35DBE" w:rsidRPr="00B35DBE">
        <w:rPr>
          <w:rFonts w:ascii="Times New Roman" w:hAnsi="Times New Roman" w:cs="Times New Roman"/>
        </w:rPr>
        <w:t>R4-1809938</w:t>
      </w:r>
      <w:r w:rsidR="00B35DBE">
        <w:rPr>
          <w:rFonts w:ascii="Times New Roman" w:hAnsi="Times New Roman" w:cs="Times New Roman"/>
        </w:rPr>
        <w:t xml:space="preserve"> </w:t>
      </w:r>
      <w:r w:rsidR="00B35DBE" w:rsidRPr="00B35DBE">
        <w:rPr>
          <w:rFonts w:ascii="Times New Roman" w:hAnsi="Times New Roman" w:cs="Times New Roman"/>
        </w:rPr>
        <w:t>Remaining Issues for UE Measurement Capability</w:t>
      </w:r>
    </w:p>
    <w:p w14:paraId="39303321" w14:textId="40FE49D2" w:rsidR="00CE0183" w:rsidRDefault="00CE0183" w:rsidP="00CE0183">
      <w:r>
        <w:rPr>
          <w:rFonts w:hint="eastAsia"/>
        </w:rPr>
        <w:t>[</w:t>
      </w:r>
      <w:r>
        <w:t xml:space="preserve">2] </w:t>
      </w:r>
      <w:r w:rsidR="002042A9">
        <w:t>R4-18</w:t>
      </w:r>
      <w:r w:rsidR="00B35DBE">
        <w:t>15084</w:t>
      </w:r>
      <w:r w:rsidR="002042A9">
        <w:t xml:space="preserve"> </w:t>
      </w:r>
      <w:r w:rsidR="00E035A7">
        <w:t xml:space="preserve">draft </w:t>
      </w:r>
      <w:r w:rsidR="00F14F89">
        <w:t>CR</w:t>
      </w:r>
      <w:r w:rsidR="00E035A7">
        <w:t xml:space="preserve"> on </w:t>
      </w:r>
      <w:r w:rsidR="00F14F89">
        <w:t>UE measurement capability</w:t>
      </w:r>
    </w:p>
    <w:p w14:paraId="5FC17F9D" w14:textId="508C2845" w:rsidR="00F14F89" w:rsidRPr="00CE0183" w:rsidRDefault="00F14F89" w:rsidP="00CE0183">
      <w:r>
        <w:t>[3] R4-1</w:t>
      </w:r>
      <w:r w:rsidR="00B35DBE">
        <w:t>815086</w:t>
      </w:r>
      <w:r>
        <w:t xml:space="preserve"> draft LS on </w:t>
      </w:r>
      <w:r w:rsidR="00B35DBE">
        <w:t>UE measurement capability.</w:t>
      </w:r>
      <w:bookmarkStart w:id="4" w:name="_GoBack"/>
      <w:bookmarkEnd w:id="4"/>
    </w:p>
    <w:sectPr w:rsidR="00F14F89" w:rsidRPr="00CE0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5A9E0" w14:textId="77777777" w:rsidR="00A14FC5" w:rsidRDefault="00A14FC5" w:rsidP="002F5416">
      <w:pPr>
        <w:spacing w:after="0"/>
      </w:pPr>
      <w:r>
        <w:separator/>
      </w:r>
    </w:p>
  </w:endnote>
  <w:endnote w:type="continuationSeparator" w:id="0">
    <w:p w14:paraId="4EBF36E0" w14:textId="77777777" w:rsidR="00A14FC5" w:rsidRDefault="00A14FC5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E2E4D" w14:textId="77777777" w:rsidR="00A14FC5" w:rsidRDefault="00A14FC5" w:rsidP="002F5416">
      <w:pPr>
        <w:spacing w:after="0"/>
      </w:pPr>
      <w:r>
        <w:separator/>
      </w:r>
    </w:p>
  </w:footnote>
  <w:footnote w:type="continuationSeparator" w:id="0">
    <w:p w14:paraId="13AC6760" w14:textId="77777777" w:rsidR="00A14FC5" w:rsidRDefault="00A14FC5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4937D6"/>
    <w:multiLevelType w:val="hybridMultilevel"/>
    <w:tmpl w:val="93C45462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30F9F"/>
    <w:multiLevelType w:val="hybridMultilevel"/>
    <w:tmpl w:val="9D2E98B0"/>
    <w:lvl w:ilvl="0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6D2272"/>
    <w:multiLevelType w:val="hybridMultilevel"/>
    <w:tmpl w:val="5D0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246242"/>
    <w:multiLevelType w:val="hybridMultilevel"/>
    <w:tmpl w:val="B600AD16"/>
    <w:lvl w:ilvl="0" w:tplc="4B149E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-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22" w15:restartNumberingAfterBreak="0">
    <w:nsid w:val="554218B2"/>
    <w:multiLevelType w:val="hybridMultilevel"/>
    <w:tmpl w:val="ACBE74C2"/>
    <w:lvl w:ilvl="0" w:tplc="0A30176A">
      <w:start w:val="1"/>
      <w:numFmt w:val="bullet"/>
      <w:lvlText w:val="-"/>
      <w:lvlJc w:val="left"/>
      <w:pPr>
        <w:ind w:left="360" w:hanging="360"/>
      </w:pPr>
      <w:rPr>
        <w:rFonts w:ascii="Times New Roman" w:eastAsia="黑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626AAF"/>
    <w:multiLevelType w:val="hybridMultilevel"/>
    <w:tmpl w:val="E8848E48"/>
    <w:lvl w:ilvl="0" w:tplc="BD6C8E7E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D362A5"/>
    <w:multiLevelType w:val="hybridMultilevel"/>
    <w:tmpl w:val="391EBE0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6734A9"/>
    <w:multiLevelType w:val="hybridMultilevel"/>
    <w:tmpl w:val="97622990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6825BB4"/>
    <w:multiLevelType w:val="hybridMultilevel"/>
    <w:tmpl w:val="006CA23A"/>
    <w:lvl w:ilvl="0" w:tplc="43DCE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70E372E1"/>
    <w:multiLevelType w:val="hybridMultilevel"/>
    <w:tmpl w:val="D9C4D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36"/>
  </w:num>
  <w:num w:numId="4">
    <w:abstractNumId w:val="37"/>
  </w:num>
  <w:num w:numId="5">
    <w:abstractNumId w:val="28"/>
  </w:num>
  <w:num w:numId="6">
    <w:abstractNumId w:val="9"/>
  </w:num>
  <w:num w:numId="7">
    <w:abstractNumId w:val="30"/>
  </w:num>
  <w:num w:numId="8">
    <w:abstractNumId w:val="4"/>
  </w:num>
  <w:num w:numId="9">
    <w:abstractNumId w:val="38"/>
  </w:num>
  <w:num w:numId="10">
    <w:abstractNumId w:val="14"/>
  </w:num>
  <w:num w:numId="11">
    <w:abstractNumId w:val="11"/>
  </w:num>
  <w:num w:numId="12">
    <w:abstractNumId w:val="20"/>
  </w:num>
  <w:num w:numId="13">
    <w:abstractNumId w:val="1"/>
  </w:num>
  <w:num w:numId="14">
    <w:abstractNumId w:val="8"/>
  </w:num>
  <w:num w:numId="15">
    <w:abstractNumId w:val="24"/>
  </w:num>
  <w:num w:numId="16">
    <w:abstractNumId w:val="6"/>
  </w:num>
  <w:num w:numId="17">
    <w:abstractNumId w:val="12"/>
  </w:num>
  <w:num w:numId="18">
    <w:abstractNumId w:val="15"/>
  </w:num>
  <w:num w:numId="19">
    <w:abstractNumId w:val="23"/>
  </w:num>
  <w:num w:numId="20">
    <w:abstractNumId w:val="0"/>
  </w:num>
  <w:num w:numId="21">
    <w:abstractNumId w:val="10"/>
  </w:num>
  <w:num w:numId="22">
    <w:abstractNumId w:val="7"/>
  </w:num>
  <w:num w:numId="23">
    <w:abstractNumId w:val="18"/>
  </w:num>
  <w:num w:numId="24">
    <w:abstractNumId w:val="2"/>
  </w:num>
  <w:num w:numId="25">
    <w:abstractNumId w:val="33"/>
  </w:num>
  <w:num w:numId="26">
    <w:abstractNumId w:val="17"/>
  </w:num>
  <w:num w:numId="27">
    <w:abstractNumId w:val="21"/>
  </w:num>
  <w:num w:numId="28">
    <w:abstractNumId w:val="34"/>
  </w:num>
  <w:num w:numId="29">
    <w:abstractNumId w:val="13"/>
  </w:num>
  <w:num w:numId="30">
    <w:abstractNumId w:val="32"/>
  </w:num>
  <w:num w:numId="31">
    <w:abstractNumId w:val="26"/>
  </w:num>
  <w:num w:numId="32">
    <w:abstractNumId w:val="5"/>
  </w:num>
  <w:num w:numId="33">
    <w:abstractNumId w:val="3"/>
  </w:num>
  <w:num w:numId="34">
    <w:abstractNumId w:val="27"/>
  </w:num>
  <w:num w:numId="35">
    <w:abstractNumId w:val="29"/>
  </w:num>
  <w:num w:numId="36">
    <w:abstractNumId w:val="22"/>
  </w:num>
  <w:num w:numId="37">
    <w:abstractNumId w:val="16"/>
  </w:num>
  <w:num w:numId="38">
    <w:abstractNumId w:val="1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3C9"/>
    <w:rsid w:val="000063CD"/>
    <w:rsid w:val="000076B8"/>
    <w:rsid w:val="00015212"/>
    <w:rsid w:val="00017B64"/>
    <w:rsid w:val="000311B5"/>
    <w:rsid w:val="00033BFB"/>
    <w:rsid w:val="000352F3"/>
    <w:rsid w:val="000409C7"/>
    <w:rsid w:val="00041A0F"/>
    <w:rsid w:val="00043F0E"/>
    <w:rsid w:val="00044543"/>
    <w:rsid w:val="0005452B"/>
    <w:rsid w:val="00063578"/>
    <w:rsid w:val="00063699"/>
    <w:rsid w:val="00084262"/>
    <w:rsid w:val="00084CDB"/>
    <w:rsid w:val="00085D33"/>
    <w:rsid w:val="00097144"/>
    <w:rsid w:val="000A10AF"/>
    <w:rsid w:val="000A6660"/>
    <w:rsid w:val="000A6713"/>
    <w:rsid w:val="000B3686"/>
    <w:rsid w:val="000C56D9"/>
    <w:rsid w:val="000C6CB9"/>
    <w:rsid w:val="000D26E2"/>
    <w:rsid w:val="000D45B0"/>
    <w:rsid w:val="000D4772"/>
    <w:rsid w:val="000D6332"/>
    <w:rsid w:val="000E1B11"/>
    <w:rsid w:val="000E2CD9"/>
    <w:rsid w:val="000E2F9D"/>
    <w:rsid w:val="000E7B08"/>
    <w:rsid w:val="000F083B"/>
    <w:rsid w:val="000F19E7"/>
    <w:rsid w:val="000F2281"/>
    <w:rsid w:val="000F586F"/>
    <w:rsid w:val="000F5C2B"/>
    <w:rsid w:val="001014B4"/>
    <w:rsid w:val="001042B1"/>
    <w:rsid w:val="00111948"/>
    <w:rsid w:val="0011315A"/>
    <w:rsid w:val="0011402E"/>
    <w:rsid w:val="00117F7D"/>
    <w:rsid w:val="00123FE0"/>
    <w:rsid w:val="00125A18"/>
    <w:rsid w:val="00133AB1"/>
    <w:rsid w:val="0013490B"/>
    <w:rsid w:val="0013581C"/>
    <w:rsid w:val="00153A09"/>
    <w:rsid w:val="00164389"/>
    <w:rsid w:val="0016471E"/>
    <w:rsid w:val="00170484"/>
    <w:rsid w:val="00172DB6"/>
    <w:rsid w:val="00175E9E"/>
    <w:rsid w:val="001775DC"/>
    <w:rsid w:val="0018440A"/>
    <w:rsid w:val="00186550"/>
    <w:rsid w:val="0019168B"/>
    <w:rsid w:val="00197CE3"/>
    <w:rsid w:val="001A29E1"/>
    <w:rsid w:val="001B3B8B"/>
    <w:rsid w:val="001C08CF"/>
    <w:rsid w:val="001C4C64"/>
    <w:rsid w:val="001D2CCB"/>
    <w:rsid w:val="001D2F2B"/>
    <w:rsid w:val="001E1CD6"/>
    <w:rsid w:val="001E48BD"/>
    <w:rsid w:val="002011E5"/>
    <w:rsid w:val="002037FB"/>
    <w:rsid w:val="002042A9"/>
    <w:rsid w:val="00205952"/>
    <w:rsid w:val="00215790"/>
    <w:rsid w:val="002163AB"/>
    <w:rsid w:val="00217595"/>
    <w:rsid w:val="002218A8"/>
    <w:rsid w:val="00232EF9"/>
    <w:rsid w:val="00234F2D"/>
    <w:rsid w:val="0024255A"/>
    <w:rsid w:val="00246B53"/>
    <w:rsid w:val="002530FF"/>
    <w:rsid w:val="00253394"/>
    <w:rsid w:val="0026747A"/>
    <w:rsid w:val="00267644"/>
    <w:rsid w:val="00270CF9"/>
    <w:rsid w:val="00272473"/>
    <w:rsid w:val="00274D39"/>
    <w:rsid w:val="0028095F"/>
    <w:rsid w:val="00281725"/>
    <w:rsid w:val="002927CD"/>
    <w:rsid w:val="002A20DA"/>
    <w:rsid w:val="002B16F5"/>
    <w:rsid w:val="002C3922"/>
    <w:rsid w:val="002C4CC6"/>
    <w:rsid w:val="002C58C7"/>
    <w:rsid w:val="002D0602"/>
    <w:rsid w:val="002D3F03"/>
    <w:rsid w:val="002D68F7"/>
    <w:rsid w:val="002E61AA"/>
    <w:rsid w:val="002F39DD"/>
    <w:rsid w:val="002F5416"/>
    <w:rsid w:val="002F6965"/>
    <w:rsid w:val="003011B0"/>
    <w:rsid w:val="0030465C"/>
    <w:rsid w:val="0033150A"/>
    <w:rsid w:val="00333B4A"/>
    <w:rsid w:val="00335E52"/>
    <w:rsid w:val="00341F65"/>
    <w:rsid w:val="00342896"/>
    <w:rsid w:val="00352868"/>
    <w:rsid w:val="003529C2"/>
    <w:rsid w:val="003601BF"/>
    <w:rsid w:val="00361035"/>
    <w:rsid w:val="00363793"/>
    <w:rsid w:val="003735C4"/>
    <w:rsid w:val="003750F3"/>
    <w:rsid w:val="003841E1"/>
    <w:rsid w:val="003931EA"/>
    <w:rsid w:val="00393654"/>
    <w:rsid w:val="003A4487"/>
    <w:rsid w:val="003B17CB"/>
    <w:rsid w:val="003C2B12"/>
    <w:rsid w:val="003C5B1E"/>
    <w:rsid w:val="003D0C9C"/>
    <w:rsid w:val="003D5A4B"/>
    <w:rsid w:val="003E30D3"/>
    <w:rsid w:val="003E4003"/>
    <w:rsid w:val="00410320"/>
    <w:rsid w:val="0041461E"/>
    <w:rsid w:val="00414B71"/>
    <w:rsid w:val="004157F0"/>
    <w:rsid w:val="00422E8C"/>
    <w:rsid w:val="00435DC8"/>
    <w:rsid w:val="004454C3"/>
    <w:rsid w:val="00447F76"/>
    <w:rsid w:val="00453D3B"/>
    <w:rsid w:val="00464A45"/>
    <w:rsid w:val="0046685F"/>
    <w:rsid w:val="00473B4B"/>
    <w:rsid w:val="00476B74"/>
    <w:rsid w:val="00477795"/>
    <w:rsid w:val="004800A7"/>
    <w:rsid w:val="00492BF4"/>
    <w:rsid w:val="00493995"/>
    <w:rsid w:val="004969D0"/>
    <w:rsid w:val="00497B8D"/>
    <w:rsid w:val="004A47AD"/>
    <w:rsid w:val="004A50B3"/>
    <w:rsid w:val="004B1AD4"/>
    <w:rsid w:val="004C2055"/>
    <w:rsid w:val="004C3F50"/>
    <w:rsid w:val="004C4B68"/>
    <w:rsid w:val="004D27AC"/>
    <w:rsid w:val="004D4D5B"/>
    <w:rsid w:val="004F3ABB"/>
    <w:rsid w:val="004F5221"/>
    <w:rsid w:val="00501AF8"/>
    <w:rsid w:val="005063D2"/>
    <w:rsid w:val="0051368F"/>
    <w:rsid w:val="00524241"/>
    <w:rsid w:val="00530104"/>
    <w:rsid w:val="005311F2"/>
    <w:rsid w:val="0053142D"/>
    <w:rsid w:val="005327E3"/>
    <w:rsid w:val="005352A5"/>
    <w:rsid w:val="00537FFE"/>
    <w:rsid w:val="00550C31"/>
    <w:rsid w:val="0055255B"/>
    <w:rsid w:val="005528BD"/>
    <w:rsid w:val="00563C49"/>
    <w:rsid w:val="0058233B"/>
    <w:rsid w:val="00582DD6"/>
    <w:rsid w:val="00590859"/>
    <w:rsid w:val="005A0EBA"/>
    <w:rsid w:val="005A4077"/>
    <w:rsid w:val="005A7180"/>
    <w:rsid w:val="005B0495"/>
    <w:rsid w:val="005B3192"/>
    <w:rsid w:val="005B4629"/>
    <w:rsid w:val="005B7598"/>
    <w:rsid w:val="005C0923"/>
    <w:rsid w:val="005D15B3"/>
    <w:rsid w:val="005D1F0E"/>
    <w:rsid w:val="005D574A"/>
    <w:rsid w:val="005E0AFE"/>
    <w:rsid w:val="005E71AB"/>
    <w:rsid w:val="005F4871"/>
    <w:rsid w:val="005F668A"/>
    <w:rsid w:val="006032B7"/>
    <w:rsid w:val="006060C2"/>
    <w:rsid w:val="00607F82"/>
    <w:rsid w:val="0062442E"/>
    <w:rsid w:val="00624F55"/>
    <w:rsid w:val="006277FC"/>
    <w:rsid w:val="00632B9F"/>
    <w:rsid w:val="00642E62"/>
    <w:rsid w:val="00643B2E"/>
    <w:rsid w:val="00647FE6"/>
    <w:rsid w:val="00662ADA"/>
    <w:rsid w:val="00664C6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76AF"/>
    <w:rsid w:val="006A2C43"/>
    <w:rsid w:val="006A48E4"/>
    <w:rsid w:val="006B6A70"/>
    <w:rsid w:val="006C1376"/>
    <w:rsid w:val="006C7AFE"/>
    <w:rsid w:val="006D45B5"/>
    <w:rsid w:val="006D726A"/>
    <w:rsid w:val="006E294B"/>
    <w:rsid w:val="006E5AAD"/>
    <w:rsid w:val="006F1638"/>
    <w:rsid w:val="006F2250"/>
    <w:rsid w:val="006F5848"/>
    <w:rsid w:val="006F5B7C"/>
    <w:rsid w:val="006F7C35"/>
    <w:rsid w:val="0070387F"/>
    <w:rsid w:val="00703A8A"/>
    <w:rsid w:val="00706968"/>
    <w:rsid w:val="00710627"/>
    <w:rsid w:val="0071710C"/>
    <w:rsid w:val="0073243D"/>
    <w:rsid w:val="00736C2B"/>
    <w:rsid w:val="007378E2"/>
    <w:rsid w:val="00740E6A"/>
    <w:rsid w:val="007434A3"/>
    <w:rsid w:val="00746E62"/>
    <w:rsid w:val="0074790E"/>
    <w:rsid w:val="00750632"/>
    <w:rsid w:val="0075605D"/>
    <w:rsid w:val="0076125B"/>
    <w:rsid w:val="00765525"/>
    <w:rsid w:val="007722D0"/>
    <w:rsid w:val="00773880"/>
    <w:rsid w:val="00774FBD"/>
    <w:rsid w:val="00776964"/>
    <w:rsid w:val="00792E13"/>
    <w:rsid w:val="007A303D"/>
    <w:rsid w:val="007B73F9"/>
    <w:rsid w:val="007C425A"/>
    <w:rsid w:val="007C7A3F"/>
    <w:rsid w:val="007E5E06"/>
    <w:rsid w:val="007E6DEA"/>
    <w:rsid w:val="007E7E60"/>
    <w:rsid w:val="007F037B"/>
    <w:rsid w:val="007F6AED"/>
    <w:rsid w:val="00801176"/>
    <w:rsid w:val="00824B3B"/>
    <w:rsid w:val="00826188"/>
    <w:rsid w:val="00840C0D"/>
    <w:rsid w:val="008416CC"/>
    <w:rsid w:val="00844746"/>
    <w:rsid w:val="00845708"/>
    <w:rsid w:val="00853A72"/>
    <w:rsid w:val="008613D8"/>
    <w:rsid w:val="00862D04"/>
    <w:rsid w:val="008637A6"/>
    <w:rsid w:val="0087194D"/>
    <w:rsid w:val="0087271F"/>
    <w:rsid w:val="00877A1A"/>
    <w:rsid w:val="00881042"/>
    <w:rsid w:val="00881F49"/>
    <w:rsid w:val="0088280E"/>
    <w:rsid w:val="008832CA"/>
    <w:rsid w:val="008846D1"/>
    <w:rsid w:val="00887324"/>
    <w:rsid w:val="00895110"/>
    <w:rsid w:val="008A2768"/>
    <w:rsid w:val="008A4A6F"/>
    <w:rsid w:val="008B33A0"/>
    <w:rsid w:val="008B4A77"/>
    <w:rsid w:val="008B636C"/>
    <w:rsid w:val="008C1233"/>
    <w:rsid w:val="008C265E"/>
    <w:rsid w:val="008C7865"/>
    <w:rsid w:val="008D3D8D"/>
    <w:rsid w:val="008D4156"/>
    <w:rsid w:val="008D5776"/>
    <w:rsid w:val="008E3CE0"/>
    <w:rsid w:val="008E7F7D"/>
    <w:rsid w:val="008F4127"/>
    <w:rsid w:val="008F53C9"/>
    <w:rsid w:val="009213A9"/>
    <w:rsid w:val="00924E6F"/>
    <w:rsid w:val="009258E4"/>
    <w:rsid w:val="009274CD"/>
    <w:rsid w:val="009277F9"/>
    <w:rsid w:val="0093237B"/>
    <w:rsid w:val="009375E0"/>
    <w:rsid w:val="00943F07"/>
    <w:rsid w:val="00945091"/>
    <w:rsid w:val="00945AA0"/>
    <w:rsid w:val="0095502D"/>
    <w:rsid w:val="009558F6"/>
    <w:rsid w:val="00956E94"/>
    <w:rsid w:val="009630B9"/>
    <w:rsid w:val="00966C0F"/>
    <w:rsid w:val="0097202C"/>
    <w:rsid w:val="0098120C"/>
    <w:rsid w:val="00981DA3"/>
    <w:rsid w:val="00993613"/>
    <w:rsid w:val="009A679B"/>
    <w:rsid w:val="009B12C7"/>
    <w:rsid w:val="009B2123"/>
    <w:rsid w:val="009B75D6"/>
    <w:rsid w:val="009C168A"/>
    <w:rsid w:val="009C3C89"/>
    <w:rsid w:val="009C6267"/>
    <w:rsid w:val="009D468F"/>
    <w:rsid w:val="009E0210"/>
    <w:rsid w:val="009E11E0"/>
    <w:rsid w:val="009E385F"/>
    <w:rsid w:val="009E470F"/>
    <w:rsid w:val="00A101AB"/>
    <w:rsid w:val="00A143E4"/>
    <w:rsid w:val="00A14FC5"/>
    <w:rsid w:val="00A165A3"/>
    <w:rsid w:val="00A17590"/>
    <w:rsid w:val="00A21320"/>
    <w:rsid w:val="00A2170F"/>
    <w:rsid w:val="00A27F7D"/>
    <w:rsid w:val="00A30A58"/>
    <w:rsid w:val="00A3314E"/>
    <w:rsid w:val="00A458ED"/>
    <w:rsid w:val="00A4635D"/>
    <w:rsid w:val="00A52CA0"/>
    <w:rsid w:val="00A55D1F"/>
    <w:rsid w:val="00A6291E"/>
    <w:rsid w:val="00A62EDB"/>
    <w:rsid w:val="00A724C3"/>
    <w:rsid w:val="00A74A58"/>
    <w:rsid w:val="00A77E45"/>
    <w:rsid w:val="00A82684"/>
    <w:rsid w:val="00A954E5"/>
    <w:rsid w:val="00AA30EC"/>
    <w:rsid w:val="00AA6628"/>
    <w:rsid w:val="00AA6E6A"/>
    <w:rsid w:val="00AA7266"/>
    <w:rsid w:val="00AA7FF0"/>
    <w:rsid w:val="00AB52D2"/>
    <w:rsid w:val="00AB7CB4"/>
    <w:rsid w:val="00AC251D"/>
    <w:rsid w:val="00AC41DB"/>
    <w:rsid w:val="00AC7095"/>
    <w:rsid w:val="00AD393C"/>
    <w:rsid w:val="00AE1931"/>
    <w:rsid w:val="00AF179D"/>
    <w:rsid w:val="00AF1ABA"/>
    <w:rsid w:val="00B05042"/>
    <w:rsid w:val="00B05182"/>
    <w:rsid w:val="00B05CD3"/>
    <w:rsid w:val="00B066F4"/>
    <w:rsid w:val="00B15162"/>
    <w:rsid w:val="00B20AE6"/>
    <w:rsid w:val="00B239DC"/>
    <w:rsid w:val="00B26BE7"/>
    <w:rsid w:val="00B301A0"/>
    <w:rsid w:val="00B35DBE"/>
    <w:rsid w:val="00B36D56"/>
    <w:rsid w:val="00B42E84"/>
    <w:rsid w:val="00B54DAF"/>
    <w:rsid w:val="00B63728"/>
    <w:rsid w:val="00B70BAA"/>
    <w:rsid w:val="00B7104F"/>
    <w:rsid w:val="00B86978"/>
    <w:rsid w:val="00B901E2"/>
    <w:rsid w:val="00B943F1"/>
    <w:rsid w:val="00B947EF"/>
    <w:rsid w:val="00BA61D4"/>
    <w:rsid w:val="00BB5202"/>
    <w:rsid w:val="00BC4A74"/>
    <w:rsid w:val="00BD2618"/>
    <w:rsid w:val="00BD41DC"/>
    <w:rsid w:val="00BD5D4E"/>
    <w:rsid w:val="00BD7458"/>
    <w:rsid w:val="00BE6AF1"/>
    <w:rsid w:val="00BF0B49"/>
    <w:rsid w:val="00C05BB8"/>
    <w:rsid w:val="00C069E0"/>
    <w:rsid w:val="00C07E00"/>
    <w:rsid w:val="00C10224"/>
    <w:rsid w:val="00C12438"/>
    <w:rsid w:val="00C15202"/>
    <w:rsid w:val="00C34746"/>
    <w:rsid w:val="00C41E20"/>
    <w:rsid w:val="00C446D3"/>
    <w:rsid w:val="00C56487"/>
    <w:rsid w:val="00C57AAC"/>
    <w:rsid w:val="00C62131"/>
    <w:rsid w:val="00C65FAC"/>
    <w:rsid w:val="00C75B1D"/>
    <w:rsid w:val="00C761D6"/>
    <w:rsid w:val="00C77A09"/>
    <w:rsid w:val="00C80101"/>
    <w:rsid w:val="00C81E8E"/>
    <w:rsid w:val="00C84FF2"/>
    <w:rsid w:val="00C92C08"/>
    <w:rsid w:val="00C92EB2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0183"/>
    <w:rsid w:val="00CE27AB"/>
    <w:rsid w:val="00CE5B31"/>
    <w:rsid w:val="00CE7A41"/>
    <w:rsid w:val="00CE7FB4"/>
    <w:rsid w:val="00D00FB8"/>
    <w:rsid w:val="00D03E02"/>
    <w:rsid w:val="00D101AC"/>
    <w:rsid w:val="00D10DA4"/>
    <w:rsid w:val="00D12BEB"/>
    <w:rsid w:val="00D17D6C"/>
    <w:rsid w:val="00D17E52"/>
    <w:rsid w:val="00D20A38"/>
    <w:rsid w:val="00D230CE"/>
    <w:rsid w:val="00D35901"/>
    <w:rsid w:val="00D35D79"/>
    <w:rsid w:val="00D44B54"/>
    <w:rsid w:val="00D50BB2"/>
    <w:rsid w:val="00D54893"/>
    <w:rsid w:val="00D62C2B"/>
    <w:rsid w:val="00D63219"/>
    <w:rsid w:val="00D64419"/>
    <w:rsid w:val="00D674CD"/>
    <w:rsid w:val="00D67E60"/>
    <w:rsid w:val="00D747E3"/>
    <w:rsid w:val="00D76B53"/>
    <w:rsid w:val="00D83FD1"/>
    <w:rsid w:val="00D87779"/>
    <w:rsid w:val="00DA4D65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035A7"/>
    <w:rsid w:val="00E1176E"/>
    <w:rsid w:val="00E11DFD"/>
    <w:rsid w:val="00E13927"/>
    <w:rsid w:val="00E3348C"/>
    <w:rsid w:val="00E35980"/>
    <w:rsid w:val="00E35F34"/>
    <w:rsid w:val="00E445FA"/>
    <w:rsid w:val="00E475E7"/>
    <w:rsid w:val="00E51815"/>
    <w:rsid w:val="00E575E8"/>
    <w:rsid w:val="00E611EA"/>
    <w:rsid w:val="00E65B10"/>
    <w:rsid w:val="00E73B81"/>
    <w:rsid w:val="00E875CE"/>
    <w:rsid w:val="00E95A37"/>
    <w:rsid w:val="00EA2276"/>
    <w:rsid w:val="00EA672A"/>
    <w:rsid w:val="00EA7BE0"/>
    <w:rsid w:val="00EB0D87"/>
    <w:rsid w:val="00EC1682"/>
    <w:rsid w:val="00EC4787"/>
    <w:rsid w:val="00ED1918"/>
    <w:rsid w:val="00ED279C"/>
    <w:rsid w:val="00ED2DE9"/>
    <w:rsid w:val="00ED395D"/>
    <w:rsid w:val="00EE3680"/>
    <w:rsid w:val="00EE5C9E"/>
    <w:rsid w:val="00EE5FA2"/>
    <w:rsid w:val="00F0070A"/>
    <w:rsid w:val="00F04685"/>
    <w:rsid w:val="00F10932"/>
    <w:rsid w:val="00F14F89"/>
    <w:rsid w:val="00F22F60"/>
    <w:rsid w:val="00F25AD9"/>
    <w:rsid w:val="00F516F2"/>
    <w:rsid w:val="00F62103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C0A8C"/>
    <w:rsid w:val="00FC6E6F"/>
    <w:rsid w:val="00FD073D"/>
    <w:rsid w:val="00FD3CD4"/>
    <w:rsid w:val="00FE0740"/>
    <w:rsid w:val="00FE6730"/>
    <w:rsid w:val="00FE70DC"/>
    <w:rsid w:val="00FF3DE6"/>
    <w:rsid w:val="00FF5BE8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aliases w:val="- Bullets,목록 단락,?? ??,?????,????,リスト段落,Lista1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qFormat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aliases w:val="- Bullets Char,목록 단락 Char,?? ?? Char,????? Char,???? Char,リスト段落 Char,Lista1 Char"/>
    <w:link w:val="aa"/>
    <w:uiPriority w:val="34"/>
    <w:qFormat/>
    <w:locked/>
    <w:rsid w:val="00001017"/>
  </w:style>
  <w:style w:type="paragraph" w:customStyle="1" w:styleId="TAL">
    <w:name w:val="TAL"/>
    <w:basedOn w:val="a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qFormat/>
    <w:rsid w:val="00EC4787"/>
    <w:rPr>
      <w:rFonts w:eastAsia="Times New Roman"/>
    </w:rPr>
  </w:style>
  <w:style w:type="paragraph" w:customStyle="1" w:styleId="B2">
    <w:name w:val="B2"/>
    <w:basedOn w:val="20"/>
    <w:link w:val="B2Char"/>
    <w:qFormat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qFormat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customStyle="1" w:styleId="Doc-text2">
    <w:name w:val="Doc-text2"/>
    <w:basedOn w:val="a"/>
    <w:link w:val="Doc-text2Char"/>
    <w:qFormat/>
    <w:rsid w:val="005B4629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5B4629"/>
    <w:rPr>
      <w:rFonts w:ascii="Arial" w:eastAsia="MS Mincho" w:hAnsi="Arial" w:cs="Times New Roman"/>
      <w:szCs w:val="24"/>
      <w:lang w:val="en-GB" w:eastAsia="en-GB"/>
    </w:rPr>
  </w:style>
  <w:style w:type="paragraph" w:customStyle="1" w:styleId="TAR">
    <w:name w:val="TAR"/>
    <w:basedOn w:val="TAL"/>
    <w:uiPriority w:val="99"/>
    <w:rsid w:val="00664C6A"/>
    <w:pPr>
      <w:jc w:val="right"/>
    </w:pPr>
    <w:rPr>
      <w:rFonts w:eastAsia="宋体"/>
    </w:rPr>
  </w:style>
  <w:style w:type="character" w:customStyle="1" w:styleId="B2Char">
    <w:name w:val="B2 Char"/>
    <w:link w:val="B2"/>
    <w:qFormat/>
    <w:rsid w:val="00ED395D"/>
    <w:rPr>
      <w:rFonts w:eastAsia="Times New Roman" w:cs="Times New Roman"/>
      <w:lang w:val="en-GB" w:eastAsia="en-GB"/>
    </w:rPr>
  </w:style>
  <w:style w:type="character" w:customStyle="1" w:styleId="B3Char2">
    <w:name w:val="B3 Char2"/>
    <w:qFormat/>
    <w:rsid w:val="00ED395D"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rsid w:val="00ED395D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ED395D"/>
    <w:rPr>
      <w:rFonts w:eastAsia="Times New Roman" w:cs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ED395D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CD3F3-77EA-42DD-9FB6-1D26C783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4615</TotalTime>
  <Pages>4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31</cp:revision>
  <dcterms:created xsi:type="dcterms:W3CDTF">2017-08-07T12:01:00Z</dcterms:created>
  <dcterms:modified xsi:type="dcterms:W3CDTF">2018-11-02T11:51:00Z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(3)14EbdNWk8i7yHGkXY2r6SKExs/rrYfaaMlFOcvWDaIdCZHZ+piiTqrVNujzHIJeyVUqDXuxx
/UfMphSgILE8b0jTpO/sy636Kz990TMeMv1V+uvhSH46DgYczcgbZVRQuTLez3HKOQi+qfBv
QkwquLxTGc/97ezmMV+6tX+q7SMV5m2HGh0IYvNJqMagPGj4z/47O0Mty6iSbBQ6Cc+fUKsM
ByqmytBpYuojK7p0kV</vt:lpwstr>
  </property>
  <property fmtid="{D5CDD505-2E9C-101B-9397-08002B2CF9AE}" pid="3" name="_2015_ms_pID_7253431">
    <vt:lpwstr>xW6xIuFPAvrOwtWeCnNUROjtj9omNj309m6wtohAirmjul3kKTgXOw
wNxdLsoWkWgqJF2zBPwBzpTvHNWbXFK3Ap8RxF4mNgOg7sLdzWgrOUdQNTN0Sxe5trBDMtbz
Rc1TBw1j99ZWA4ZV9HZmlGsoaXS2fuyWO1PnrNC2kl5suuW76Cg3j9snyaCwOJhJL82dsbhm
vzBwel1rntYZl9y5um8hi0NedJwLxwXH2S8c</vt:lpwstr>
  </property>
  <property fmtid="{D5CDD505-2E9C-101B-9397-08002B2CF9AE}" pid="4" name="_2015_ms_pID_7253432">
    <vt:lpwstr>aw==</vt:lpwstr>
  </property>
</Properties>
</file>